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B730F" w14:textId="77777777" w:rsidR="00632B35" w:rsidRDefault="000F00D6" w:rsidP="005C7436">
      <w:pPr>
        <w:spacing w:line="360" w:lineRule="auto"/>
        <w:jc w:val="both"/>
        <w:rPr>
          <w:b/>
          <w:kern w:val="0"/>
          <w:sz w:val="22"/>
          <w:szCs w:val="22"/>
        </w:rPr>
      </w:pPr>
      <w:bookmarkStart w:id="0" w:name="_Toc172357882"/>
      <w:r>
        <w:rPr>
          <w:noProof/>
          <w:lang w:eastAsia="zh-CN"/>
        </w:rPr>
        <w:drawing>
          <wp:anchor distT="0" distB="0" distL="114300" distR="114300" simplePos="0" relativeHeight="251658240" behindDoc="1" locked="0" layoutInCell="1" allowOverlap="1" wp14:anchorId="6BF6F595" wp14:editId="7C38442B">
            <wp:simplePos x="0" y="0"/>
            <wp:positionH relativeFrom="column">
              <wp:posOffset>4371285</wp:posOffset>
            </wp:positionH>
            <wp:positionV relativeFrom="paragraph">
              <wp:posOffset>2840</wp:posOffset>
            </wp:positionV>
            <wp:extent cx="2318385" cy="995680"/>
            <wp:effectExtent l="0" t="0" r="5715" b="0"/>
            <wp:wrapNone/>
            <wp:docPr id="2" name="Picture 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8385" cy="995680"/>
                    </a:xfrm>
                    <a:prstGeom prst="rect">
                      <a:avLst/>
                    </a:prstGeom>
                  </pic:spPr>
                </pic:pic>
              </a:graphicData>
            </a:graphic>
          </wp:anchor>
        </w:drawing>
      </w:r>
      <w:r w:rsidR="005C7436" w:rsidRPr="00E051D8">
        <w:rPr>
          <w:noProof/>
          <w:sz w:val="22"/>
          <w:szCs w:val="22"/>
          <w:lang w:eastAsia="zh-CN"/>
        </w:rPr>
        <w:drawing>
          <wp:inline distT="0" distB="0" distL="0" distR="0" wp14:anchorId="159C2D52" wp14:editId="23835478">
            <wp:extent cx="1133475" cy="1076325"/>
            <wp:effectExtent l="0" t="0" r="9525" b="9525"/>
            <wp:docPr id="7" name="Picture 2" descr="Ministry of Environment, Forest and Climate Change (MEFCC) – Ethiopia |  Center for International Forestry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Ministry of Environment, Forest and Climate Change (MEFCC) – Ethiopia |  Center for International Forestry Researc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3475" cy="1076325"/>
                    </a:xfrm>
                    <a:prstGeom prst="rect">
                      <a:avLst/>
                    </a:prstGeom>
                    <a:noFill/>
                    <a:extLst/>
                  </pic:spPr>
                </pic:pic>
              </a:graphicData>
            </a:graphic>
          </wp:inline>
        </w:drawing>
      </w:r>
      <w:r w:rsidR="005C7436" w:rsidRPr="00E051D8">
        <w:rPr>
          <w:b/>
          <w:kern w:val="0"/>
          <w:sz w:val="22"/>
          <w:szCs w:val="22"/>
        </w:rPr>
        <w:t xml:space="preserve">                 </w:t>
      </w:r>
      <w:r w:rsidR="00632B35">
        <w:rPr>
          <w:noProof/>
          <w:lang w:eastAsia="zh-CN"/>
        </w:rPr>
        <w:drawing>
          <wp:inline distT="0" distB="0" distL="0" distR="0" wp14:anchorId="004C437C" wp14:editId="08C58EE4">
            <wp:extent cx="2638564" cy="781015"/>
            <wp:effectExtent l="0" t="0" r="0" b="635"/>
            <wp:docPr id="1" name="Picture 1" descr="C:\Users\gsama\AppData\Local\Microsoft\Windows\INetCache\Content.Outlook\3ECY6S1P\ica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gsama\AppData\Local\Microsoft\Windows\INetCache\Content.Outlook\3ECY6S1P\icat-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665784" cy="789072"/>
                    </a:xfrm>
                    <a:prstGeom prst="rect">
                      <a:avLst/>
                    </a:prstGeom>
                    <a:noFill/>
                    <a:ln>
                      <a:noFill/>
                    </a:ln>
                  </pic:spPr>
                </pic:pic>
              </a:graphicData>
            </a:graphic>
          </wp:inline>
        </w:drawing>
      </w:r>
      <w:r w:rsidR="005C7436" w:rsidRPr="00E051D8">
        <w:rPr>
          <w:b/>
          <w:kern w:val="0"/>
          <w:sz w:val="22"/>
          <w:szCs w:val="22"/>
        </w:rPr>
        <w:t xml:space="preserve">   </w:t>
      </w:r>
    </w:p>
    <w:p w14:paraId="5AB9DD37" w14:textId="77777777" w:rsidR="00632B35" w:rsidRDefault="00632B35" w:rsidP="005C7436">
      <w:pPr>
        <w:spacing w:line="360" w:lineRule="auto"/>
        <w:jc w:val="both"/>
        <w:rPr>
          <w:b/>
          <w:kern w:val="0"/>
          <w:sz w:val="22"/>
          <w:szCs w:val="22"/>
        </w:rPr>
      </w:pPr>
    </w:p>
    <w:p w14:paraId="27686DDC" w14:textId="77777777" w:rsidR="005C7436" w:rsidRPr="00A37853" w:rsidRDefault="005C7436" w:rsidP="00A37853">
      <w:pPr>
        <w:spacing w:line="360" w:lineRule="auto"/>
        <w:jc w:val="center"/>
        <w:rPr>
          <w:sz w:val="32"/>
          <w:szCs w:val="22"/>
        </w:rPr>
      </w:pPr>
      <w:r w:rsidRPr="00A37853">
        <w:rPr>
          <w:b/>
          <w:kern w:val="0"/>
          <w:sz w:val="32"/>
          <w:szCs w:val="22"/>
        </w:rPr>
        <w:t>TERMS OF REFERENCE (TOR)</w:t>
      </w:r>
    </w:p>
    <w:p w14:paraId="6C4B5375" w14:textId="77777777" w:rsidR="005C7436" w:rsidRPr="00A37853" w:rsidRDefault="005C7436" w:rsidP="00A37853">
      <w:pPr>
        <w:widowControl/>
        <w:pBdr>
          <w:bottom w:val="single" w:sz="4" w:space="1" w:color="auto"/>
        </w:pBdr>
        <w:overflowPunct/>
        <w:adjustRightInd/>
        <w:spacing w:line="360" w:lineRule="auto"/>
        <w:jc w:val="center"/>
        <w:rPr>
          <w:b/>
          <w:kern w:val="0"/>
          <w:sz w:val="32"/>
          <w:szCs w:val="22"/>
        </w:rPr>
      </w:pPr>
      <w:r w:rsidRPr="00A37853">
        <w:rPr>
          <w:b/>
          <w:noProof/>
          <w:sz w:val="32"/>
          <w:szCs w:val="22"/>
        </w:rPr>
        <w:t>ETHIOPIA</w:t>
      </w:r>
    </w:p>
    <w:p w14:paraId="20CD94BC" w14:textId="77777777" w:rsidR="005C7436" w:rsidRPr="00E051D8" w:rsidRDefault="005C7436" w:rsidP="005C7436">
      <w:pPr>
        <w:widowControl/>
        <w:shd w:val="clear" w:color="auto" w:fill="FFFFFF"/>
        <w:overflowPunct/>
        <w:adjustRightInd/>
        <w:spacing w:line="360" w:lineRule="auto"/>
        <w:jc w:val="both"/>
        <w:rPr>
          <w:b/>
          <w:color w:val="0000FF"/>
          <w:kern w:val="0"/>
          <w:sz w:val="22"/>
          <w:szCs w:val="22"/>
        </w:rPr>
      </w:pPr>
    </w:p>
    <w:p w14:paraId="09CFB310" w14:textId="231F2DF0" w:rsidR="005C7436" w:rsidRPr="00E051D8"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E051D8">
        <w:rPr>
          <w:b/>
          <w:kern w:val="0"/>
          <w:sz w:val="22"/>
          <w:szCs w:val="22"/>
        </w:rPr>
        <w:t>General Information</w:t>
      </w:r>
    </w:p>
    <w:p w14:paraId="00151A39" w14:textId="77777777" w:rsidR="00A37853" w:rsidRDefault="005C7436" w:rsidP="00A37853">
      <w:pPr>
        <w:pStyle w:val="t27"/>
        <w:tabs>
          <w:tab w:val="left" w:pos="1201"/>
          <w:tab w:val="left" w:pos="4824"/>
        </w:tabs>
        <w:spacing w:line="360" w:lineRule="auto"/>
        <w:jc w:val="both"/>
        <w:rPr>
          <w:sz w:val="22"/>
          <w:szCs w:val="22"/>
        </w:rPr>
      </w:pPr>
      <w:r w:rsidRPr="00E051D8">
        <w:rPr>
          <w:b/>
          <w:sz w:val="22"/>
          <w:szCs w:val="22"/>
        </w:rPr>
        <w:t>Services/Work Description:</w:t>
      </w:r>
      <w:r w:rsidRPr="00E051D8">
        <w:rPr>
          <w:rFonts w:eastAsia="Cambria"/>
          <w:sz w:val="22"/>
          <w:szCs w:val="22"/>
        </w:rPr>
        <w:t xml:space="preserve"> </w:t>
      </w:r>
      <w:r w:rsidR="006A4FA7" w:rsidRPr="006A4FA7">
        <w:rPr>
          <w:sz w:val="22"/>
          <w:szCs w:val="22"/>
        </w:rPr>
        <w:t>Conduct</w:t>
      </w:r>
      <w:r w:rsidR="00A37853">
        <w:rPr>
          <w:sz w:val="22"/>
          <w:szCs w:val="22"/>
        </w:rPr>
        <w:t>ing</w:t>
      </w:r>
      <w:r w:rsidR="006A4FA7" w:rsidRPr="006A4FA7">
        <w:rPr>
          <w:sz w:val="22"/>
          <w:szCs w:val="22"/>
        </w:rPr>
        <w:t xml:space="preserve"> </w:t>
      </w:r>
      <w:r w:rsidR="000F6C60">
        <w:rPr>
          <w:sz w:val="22"/>
          <w:szCs w:val="22"/>
        </w:rPr>
        <w:t xml:space="preserve">emission reduction impact assessment of CRGE policies and actions within the energy sector </w:t>
      </w:r>
      <w:r w:rsidR="000F6C60" w:rsidRPr="006A4FA7">
        <w:rPr>
          <w:sz w:val="22"/>
          <w:szCs w:val="22"/>
        </w:rPr>
        <w:t xml:space="preserve">(for measures referring to reduced electricity demand </w:t>
      </w:r>
      <w:r w:rsidR="000F6C60">
        <w:rPr>
          <w:sz w:val="22"/>
          <w:szCs w:val="22"/>
        </w:rPr>
        <w:t>t</w:t>
      </w:r>
      <w:r w:rsidR="000F6C60" w:rsidRPr="006A4FA7">
        <w:rPr>
          <w:sz w:val="22"/>
          <w:szCs w:val="22"/>
        </w:rPr>
        <w:t>hrough</w:t>
      </w:r>
      <w:r w:rsidR="000F6C60">
        <w:rPr>
          <w:sz w:val="22"/>
          <w:szCs w:val="22"/>
        </w:rPr>
        <w:t xml:space="preserve"> uses of</w:t>
      </w:r>
      <w:r w:rsidR="000F6C60" w:rsidRPr="006A4FA7">
        <w:rPr>
          <w:sz w:val="22"/>
          <w:szCs w:val="22"/>
        </w:rPr>
        <w:t xml:space="preserve"> efficient</w:t>
      </w:r>
      <w:r w:rsidR="000F6C60">
        <w:rPr>
          <w:sz w:val="22"/>
          <w:szCs w:val="22"/>
        </w:rPr>
        <w:t xml:space="preserve"> renewable energy &amp; energy efficiency technologies</w:t>
      </w:r>
      <w:r w:rsidR="000F6C60" w:rsidRPr="006A4FA7">
        <w:rPr>
          <w:sz w:val="22"/>
          <w:szCs w:val="22"/>
        </w:rPr>
        <w:t>)</w:t>
      </w:r>
      <w:r w:rsidR="000F6C60">
        <w:rPr>
          <w:sz w:val="22"/>
          <w:szCs w:val="22"/>
        </w:rPr>
        <w:t>, incl</w:t>
      </w:r>
      <w:r w:rsidR="00A37853">
        <w:rPr>
          <w:sz w:val="22"/>
          <w:szCs w:val="22"/>
        </w:rPr>
        <w:t xml:space="preserve">uding: </w:t>
      </w:r>
    </w:p>
    <w:p w14:paraId="449BB308" w14:textId="77777777" w:rsidR="00A37853" w:rsidRDefault="000F6C60" w:rsidP="00A37853">
      <w:pPr>
        <w:pStyle w:val="t27"/>
        <w:numPr>
          <w:ilvl w:val="0"/>
          <w:numId w:val="16"/>
        </w:numPr>
        <w:tabs>
          <w:tab w:val="left" w:pos="1201"/>
          <w:tab w:val="left" w:pos="4824"/>
        </w:tabs>
        <w:spacing w:line="360" w:lineRule="auto"/>
        <w:jc w:val="both"/>
        <w:rPr>
          <w:sz w:val="22"/>
          <w:szCs w:val="22"/>
        </w:rPr>
      </w:pPr>
      <w:r>
        <w:rPr>
          <w:sz w:val="22"/>
          <w:szCs w:val="22"/>
        </w:rPr>
        <w:t xml:space="preserve"> collect data on baseline and policy implementation, </w:t>
      </w:r>
    </w:p>
    <w:p w14:paraId="243007D6" w14:textId="1915FA32" w:rsidR="00A37853" w:rsidRDefault="000F6C60" w:rsidP="00A37853">
      <w:pPr>
        <w:pStyle w:val="t27"/>
        <w:numPr>
          <w:ilvl w:val="0"/>
          <w:numId w:val="16"/>
        </w:numPr>
        <w:tabs>
          <w:tab w:val="left" w:pos="1201"/>
          <w:tab w:val="left" w:pos="4824"/>
        </w:tabs>
        <w:spacing w:line="360" w:lineRule="auto"/>
        <w:jc w:val="both"/>
        <w:rPr>
          <w:sz w:val="22"/>
          <w:szCs w:val="22"/>
        </w:rPr>
      </w:pPr>
      <w:r>
        <w:rPr>
          <w:sz w:val="22"/>
          <w:szCs w:val="22"/>
        </w:rPr>
        <w:t>conducting assessment according</w:t>
      </w:r>
      <w:r w:rsidR="006459B2">
        <w:rPr>
          <w:sz w:val="22"/>
          <w:szCs w:val="22"/>
        </w:rPr>
        <w:t xml:space="preserve"> to</w:t>
      </w:r>
      <w:r>
        <w:rPr>
          <w:sz w:val="22"/>
          <w:szCs w:val="22"/>
        </w:rPr>
        <w:t xml:space="preserve"> the adapted methodologies, </w:t>
      </w:r>
    </w:p>
    <w:p w14:paraId="61A95A42" w14:textId="3F63FD4B" w:rsidR="006A4FA7" w:rsidRPr="00CC00A7" w:rsidRDefault="000F6C60" w:rsidP="00827CA6">
      <w:pPr>
        <w:numPr>
          <w:ilvl w:val="0"/>
          <w:numId w:val="16"/>
        </w:numPr>
        <w:tabs>
          <w:tab w:val="left" w:pos="1201"/>
          <w:tab w:val="left" w:pos="4824"/>
        </w:tabs>
        <w:spacing w:line="360" w:lineRule="auto"/>
        <w:jc w:val="both"/>
        <w:rPr>
          <w:sz w:val="22"/>
          <w:szCs w:val="22"/>
        </w:rPr>
      </w:pPr>
      <w:r w:rsidRPr="00827CA6">
        <w:rPr>
          <w:sz w:val="22"/>
          <w:szCs w:val="22"/>
        </w:rPr>
        <w:t>and build capacity with MRV staff in national institutions</w:t>
      </w:r>
      <w:r w:rsidR="006A0306" w:rsidRPr="00827CA6">
        <w:rPr>
          <w:sz w:val="22"/>
          <w:szCs w:val="22"/>
        </w:rPr>
        <w:t>, in clos</w:t>
      </w:r>
      <w:r w:rsidRPr="00827CA6">
        <w:rPr>
          <w:sz w:val="22"/>
          <w:szCs w:val="22"/>
        </w:rPr>
        <w:t>e cooperation with</w:t>
      </w:r>
      <w:r w:rsidR="00CC00A7" w:rsidRPr="00827CA6">
        <w:rPr>
          <w:sz w:val="22"/>
          <w:szCs w:val="22"/>
        </w:rPr>
        <w:t xml:space="preserve"> UNEP DTU  </w:t>
      </w:r>
      <w:r w:rsidR="00CC00A7" w:rsidRPr="00CC00A7">
        <w:rPr>
          <w:bCs/>
          <w:sz w:val="22"/>
          <w:szCs w:val="22"/>
        </w:rPr>
        <w:t>Partnership (</w:t>
      </w:r>
      <w:r w:rsidRPr="00CC00A7">
        <w:rPr>
          <w:bCs/>
          <w:sz w:val="22"/>
          <w:szCs w:val="22"/>
        </w:rPr>
        <w:t>UDP</w:t>
      </w:r>
      <w:r w:rsidR="00CC00A7" w:rsidRPr="00827CA6">
        <w:rPr>
          <w:bCs/>
          <w:sz w:val="22"/>
          <w:szCs w:val="22"/>
        </w:rPr>
        <w:t>)</w:t>
      </w:r>
      <w:r w:rsidRPr="00827CA6">
        <w:rPr>
          <w:bCs/>
          <w:sz w:val="22"/>
          <w:szCs w:val="22"/>
        </w:rPr>
        <w:t xml:space="preserve"> and </w:t>
      </w:r>
      <w:r w:rsidR="00CC00A7" w:rsidRPr="00827CA6">
        <w:rPr>
          <w:bCs/>
          <w:sz w:val="22"/>
          <w:szCs w:val="22"/>
        </w:rPr>
        <w:t xml:space="preserve">the Ethiopia Environment, Forest, and Climate Change Commission, and </w:t>
      </w:r>
      <w:r w:rsidR="00CC00A7" w:rsidRPr="00827CA6">
        <w:rPr>
          <w:sz w:val="22"/>
          <w:szCs w:val="22"/>
        </w:rPr>
        <w:t>Italian National Institute for Environmental Protection and Research (ISPRA)</w:t>
      </w:r>
      <w:r w:rsidR="00CC00A7" w:rsidRPr="00CC00A7">
        <w:rPr>
          <w:sz w:val="22"/>
          <w:szCs w:val="22"/>
        </w:rPr>
        <w:t>.</w:t>
      </w:r>
    </w:p>
    <w:p w14:paraId="38F874B0" w14:textId="77777777" w:rsidR="005C7436" w:rsidRPr="00E051D8" w:rsidRDefault="005C7436" w:rsidP="005C7436">
      <w:pPr>
        <w:widowControl/>
        <w:shd w:val="clear" w:color="auto" w:fill="FFFFFF"/>
        <w:overflowPunct/>
        <w:adjustRightInd/>
        <w:spacing w:line="360" w:lineRule="auto"/>
        <w:ind w:left="2880" w:hanging="2880"/>
        <w:rPr>
          <w:sz w:val="22"/>
          <w:szCs w:val="22"/>
        </w:rPr>
      </w:pPr>
      <w:r>
        <w:rPr>
          <w:sz w:val="22"/>
          <w:szCs w:val="22"/>
        </w:rPr>
        <w:t>.</w:t>
      </w:r>
      <w:r w:rsidRPr="00E051D8">
        <w:rPr>
          <w:b/>
          <w:sz w:val="22"/>
          <w:szCs w:val="22"/>
        </w:rPr>
        <w:t>Project/Program Title:</w:t>
      </w:r>
      <w:r w:rsidRPr="00E051D8">
        <w:rPr>
          <w:sz w:val="22"/>
          <w:szCs w:val="22"/>
        </w:rPr>
        <w:tab/>
      </w:r>
      <w:r w:rsidR="006A4FA7" w:rsidRPr="005025A9">
        <w:rPr>
          <w:sz w:val="22"/>
          <w:szCs w:val="22"/>
          <w:lang w:val="en-GB"/>
        </w:rPr>
        <w:t>The Initiative for Climate Action Transparency (ICAT)</w:t>
      </w:r>
    </w:p>
    <w:p w14:paraId="2EA14E31" w14:textId="77777777" w:rsidR="005C7436" w:rsidRPr="00E051D8" w:rsidRDefault="005C7436" w:rsidP="005C7436">
      <w:pPr>
        <w:widowControl/>
        <w:shd w:val="clear" w:color="auto" w:fill="FFFFFF"/>
        <w:overflowPunct/>
        <w:adjustRightInd/>
        <w:spacing w:line="360" w:lineRule="auto"/>
        <w:ind w:left="2880" w:hanging="2880"/>
        <w:rPr>
          <w:sz w:val="22"/>
          <w:szCs w:val="22"/>
        </w:rPr>
      </w:pPr>
      <w:r w:rsidRPr="00E051D8">
        <w:rPr>
          <w:b/>
          <w:sz w:val="22"/>
          <w:szCs w:val="22"/>
        </w:rPr>
        <w:t>Duty Station:</w:t>
      </w:r>
      <w:r w:rsidRPr="00E051D8">
        <w:rPr>
          <w:sz w:val="22"/>
          <w:szCs w:val="22"/>
        </w:rPr>
        <w:tab/>
      </w:r>
      <w:r w:rsidRPr="00E051D8">
        <w:rPr>
          <w:sz w:val="22"/>
          <w:szCs w:val="22"/>
          <w:shd w:val="clear" w:color="auto" w:fill="FFFFFF"/>
        </w:rPr>
        <w:t>Addis Ababa</w:t>
      </w:r>
    </w:p>
    <w:p w14:paraId="7D4187DC" w14:textId="77777777" w:rsidR="005C7436" w:rsidRPr="00E051D8" w:rsidRDefault="005C7436" w:rsidP="005C7436">
      <w:pPr>
        <w:widowControl/>
        <w:shd w:val="clear" w:color="auto" w:fill="FFFFFF"/>
        <w:overflowPunct/>
        <w:adjustRightInd/>
        <w:spacing w:line="360" w:lineRule="auto"/>
        <w:ind w:left="2880" w:hanging="2880"/>
        <w:rPr>
          <w:sz w:val="22"/>
          <w:szCs w:val="22"/>
        </w:rPr>
      </w:pPr>
      <w:r w:rsidRPr="00E051D8">
        <w:rPr>
          <w:b/>
          <w:sz w:val="22"/>
          <w:szCs w:val="22"/>
        </w:rPr>
        <w:t>Type of the Contract:</w:t>
      </w:r>
      <w:r w:rsidRPr="00E051D8">
        <w:rPr>
          <w:b/>
          <w:sz w:val="22"/>
          <w:szCs w:val="22"/>
        </w:rPr>
        <w:tab/>
      </w:r>
      <w:r w:rsidRPr="00DE11BE">
        <w:rPr>
          <w:sz w:val="22"/>
          <w:szCs w:val="22"/>
          <w:shd w:val="clear" w:color="auto" w:fill="FFFFFF"/>
        </w:rPr>
        <w:t xml:space="preserve">International </w:t>
      </w:r>
      <w:r w:rsidRPr="008835D5">
        <w:rPr>
          <w:sz w:val="22"/>
          <w:szCs w:val="22"/>
        </w:rPr>
        <w:t>or</w:t>
      </w:r>
      <w:r w:rsidRPr="00DE11BE">
        <w:rPr>
          <w:b/>
          <w:sz w:val="22"/>
          <w:szCs w:val="22"/>
        </w:rPr>
        <w:t xml:space="preserve"> </w:t>
      </w:r>
      <w:r w:rsidRPr="00DE11BE">
        <w:rPr>
          <w:sz w:val="22"/>
          <w:szCs w:val="22"/>
        </w:rPr>
        <w:t xml:space="preserve">National </w:t>
      </w:r>
      <w:r w:rsidRPr="00DE11BE">
        <w:rPr>
          <w:sz w:val="22"/>
          <w:szCs w:val="22"/>
          <w:shd w:val="clear" w:color="auto" w:fill="FFFFFF"/>
        </w:rPr>
        <w:t>Consulting Firm</w:t>
      </w:r>
      <w:r w:rsidRPr="00E051D8">
        <w:rPr>
          <w:sz w:val="22"/>
          <w:szCs w:val="22"/>
          <w:shd w:val="clear" w:color="auto" w:fill="FFFFFF"/>
        </w:rPr>
        <w:t xml:space="preserve"> </w:t>
      </w:r>
    </w:p>
    <w:p w14:paraId="56060FDC" w14:textId="5B4054A6" w:rsidR="005C7436" w:rsidRPr="00E051D8" w:rsidRDefault="005C7436" w:rsidP="005C7436">
      <w:pPr>
        <w:widowControl/>
        <w:shd w:val="clear" w:color="auto" w:fill="FFFFFF"/>
        <w:overflowPunct/>
        <w:adjustRightInd/>
        <w:spacing w:line="360" w:lineRule="auto"/>
        <w:ind w:left="2880" w:hanging="2880"/>
        <w:rPr>
          <w:sz w:val="22"/>
          <w:szCs w:val="22"/>
        </w:rPr>
      </w:pPr>
      <w:r w:rsidRPr="00E051D8">
        <w:rPr>
          <w:b/>
          <w:sz w:val="22"/>
          <w:szCs w:val="22"/>
        </w:rPr>
        <w:t>Duration:</w:t>
      </w:r>
      <w:r w:rsidRPr="00E051D8">
        <w:rPr>
          <w:sz w:val="22"/>
          <w:szCs w:val="22"/>
        </w:rPr>
        <w:tab/>
      </w:r>
      <w:r w:rsidR="00AA264C">
        <w:rPr>
          <w:sz w:val="22"/>
          <w:szCs w:val="22"/>
          <w:shd w:val="clear" w:color="auto" w:fill="FFFFFF"/>
        </w:rPr>
        <w:t xml:space="preserve">August </w:t>
      </w:r>
      <w:r w:rsidR="003C3DCB">
        <w:rPr>
          <w:sz w:val="22"/>
          <w:szCs w:val="22"/>
          <w:shd w:val="clear" w:color="auto" w:fill="FFFFFF"/>
        </w:rPr>
        <w:t xml:space="preserve">– </w:t>
      </w:r>
      <w:r w:rsidR="00AA264C">
        <w:rPr>
          <w:sz w:val="22"/>
          <w:szCs w:val="22"/>
          <w:shd w:val="clear" w:color="auto" w:fill="FFFFFF"/>
        </w:rPr>
        <w:t xml:space="preserve">December </w:t>
      </w:r>
      <w:r w:rsidR="003C3DCB">
        <w:rPr>
          <w:sz w:val="22"/>
          <w:szCs w:val="22"/>
          <w:shd w:val="clear" w:color="auto" w:fill="FFFFFF"/>
        </w:rPr>
        <w:t>2021</w:t>
      </w:r>
    </w:p>
    <w:p w14:paraId="419B5E63" w14:textId="77777777" w:rsidR="005C7436" w:rsidRPr="00E051D8" w:rsidRDefault="005C7436" w:rsidP="006A4FA7">
      <w:pPr>
        <w:widowControl/>
        <w:shd w:val="clear" w:color="auto" w:fill="FFFFFF"/>
        <w:overflowPunct/>
        <w:adjustRightInd/>
        <w:spacing w:line="360" w:lineRule="auto"/>
        <w:ind w:left="2880" w:hanging="2880"/>
        <w:rPr>
          <w:sz w:val="22"/>
          <w:szCs w:val="22"/>
          <w:shd w:val="clear" w:color="auto" w:fill="FFFFFF"/>
        </w:rPr>
      </w:pPr>
      <w:r w:rsidRPr="00E051D8">
        <w:rPr>
          <w:b/>
          <w:sz w:val="22"/>
          <w:szCs w:val="22"/>
        </w:rPr>
        <w:t xml:space="preserve">Expected Start Date:         </w:t>
      </w:r>
      <w:r w:rsidRPr="00E051D8">
        <w:rPr>
          <w:sz w:val="22"/>
          <w:szCs w:val="22"/>
          <w:shd w:val="clear" w:color="auto" w:fill="FFFFFF"/>
        </w:rPr>
        <w:t xml:space="preserve">Immediately after concluding the contract agreement  </w:t>
      </w:r>
    </w:p>
    <w:p w14:paraId="0080D249" w14:textId="7C2691BF" w:rsidR="005C7436" w:rsidRPr="00E051D8"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E051D8">
        <w:rPr>
          <w:b/>
          <w:kern w:val="0"/>
          <w:sz w:val="22"/>
          <w:szCs w:val="22"/>
        </w:rPr>
        <w:t xml:space="preserve"> Background / Rationale</w:t>
      </w:r>
    </w:p>
    <w:p w14:paraId="690FF795" w14:textId="661FB22C" w:rsidR="005C7436" w:rsidRDefault="00CC7C91" w:rsidP="005C7436">
      <w:pPr>
        <w:pStyle w:val="ColorfulList-Accent11"/>
        <w:tabs>
          <w:tab w:val="num" w:pos="540"/>
        </w:tabs>
        <w:spacing w:line="360" w:lineRule="auto"/>
        <w:ind w:left="0"/>
        <w:jc w:val="both"/>
        <w:rPr>
          <w:sz w:val="22"/>
          <w:szCs w:val="22"/>
          <w:lang w:val="en-GB"/>
        </w:rPr>
      </w:pPr>
      <w:r w:rsidRPr="005025A9">
        <w:rPr>
          <w:sz w:val="22"/>
          <w:szCs w:val="22"/>
          <w:lang w:val="en-GB"/>
        </w:rPr>
        <w:t>The Government of Ethiopia conducted an assessment of the C</w:t>
      </w:r>
      <w:r w:rsidR="00334091">
        <w:rPr>
          <w:sz w:val="22"/>
          <w:szCs w:val="22"/>
          <w:lang w:val="en-GB"/>
        </w:rPr>
        <w:t>limate Resilient Green Economy (C</w:t>
      </w:r>
      <w:r w:rsidRPr="005025A9">
        <w:rPr>
          <w:sz w:val="22"/>
          <w:szCs w:val="22"/>
          <w:lang w:val="en-GB"/>
        </w:rPr>
        <w:t>RGE</w:t>
      </w:r>
      <w:r w:rsidR="00334091">
        <w:rPr>
          <w:sz w:val="22"/>
          <w:szCs w:val="22"/>
          <w:lang w:val="en-GB"/>
        </w:rPr>
        <w:t>)</w:t>
      </w:r>
      <w:r w:rsidRPr="005025A9">
        <w:rPr>
          <w:sz w:val="22"/>
          <w:szCs w:val="22"/>
          <w:lang w:val="en-GB"/>
        </w:rPr>
        <w:t xml:space="preserve"> implementation. </w:t>
      </w:r>
      <w:r w:rsidR="00334091">
        <w:rPr>
          <w:sz w:val="22"/>
          <w:szCs w:val="22"/>
          <w:lang w:val="en-GB"/>
        </w:rPr>
        <w:t>The assessment</w:t>
      </w:r>
      <w:r w:rsidR="00334091" w:rsidRPr="005025A9">
        <w:rPr>
          <w:sz w:val="22"/>
          <w:szCs w:val="22"/>
          <w:lang w:val="en-GB"/>
        </w:rPr>
        <w:t xml:space="preserve"> </w:t>
      </w:r>
      <w:r w:rsidRPr="005025A9">
        <w:rPr>
          <w:sz w:val="22"/>
          <w:szCs w:val="22"/>
          <w:lang w:val="en-GB"/>
        </w:rPr>
        <w:t xml:space="preserve">focuses on mitigation and adaptation actions and policies, as well as climate finance tracking and institutional arrangements. It revealed that numerous activities related to CRGE </w:t>
      </w:r>
      <w:r w:rsidR="006459B2" w:rsidRPr="005025A9">
        <w:rPr>
          <w:sz w:val="22"/>
          <w:szCs w:val="22"/>
          <w:lang w:val="en-GB"/>
        </w:rPr>
        <w:t>ha</w:t>
      </w:r>
      <w:r w:rsidR="006459B2">
        <w:rPr>
          <w:sz w:val="22"/>
          <w:szCs w:val="22"/>
          <w:lang w:val="en-GB"/>
        </w:rPr>
        <w:t>d</w:t>
      </w:r>
      <w:r w:rsidR="006459B2" w:rsidRPr="005025A9">
        <w:rPr>
          <w:sz w:val="22"/>
          <w:szCs w:val="22"/>
          <w:lang w:val="en-GB"/>
        </w:rPr>
        <w:t xml:space="preserve"> </w:t>
      </w:r>
      <w:r w:rsidRPr="005025A9">
        <w:rPr>
          <w:sz w:val="22"/>
          <w:szCs w:val="22"/>
          <w:lang w:val="en-GB"/>
        </w:rPr>
        <w:t>taken place, and both flagship projects and smaller projects have been implemented. Within adaptation, the majority of activities are within agriculture, while some mitigation forestry activities led to adaptation co-benefits. Within mitigation, investments within transport and energy are prominent, together with the forestry REDD+ engagement. However, most activities did not set clear climate change targets, did not establish a baseline, so the climate change effect is not fully known. Thus, the assessment verified whether CRGE related actions and policies were implemented but did not assess the actual mitigation or adaptation impact, e.g.</w:t>
      </w:r>
      <w:r w:rsidR="006459B2">
        <w:rPr>
          <w:sz w:val="22"/>
          <w:szCs w:val="22"/>
          <w:lang w:val="en-GB"/>
        </w:rPr>
        <w:t>,</w:t>
      </w:r>
      <w:r w:rsidRPr="005025A9">
        <w:rPr>
          <w:sz w:val="22"/>
          <w:szCs w:val="22"/>
          <w:lang w:val="en-GB"/>
        </w:rPr>
        <w:t xml:space="preserve"> CO</w:t>
      </w:r>
      <w:r w:rsidRPr="002B36D7">
        <w:rPr>
          <w:sz w:val="22"/>
          <w:szCs w:val="22"/>
          <w:vertAlign w:val="subscript"/>
          <w:lang w:val="en-GB"/>
        </w:rPr>
        <w:t>2</w:t>
      </w:r>
      <w:r w:rsidRPr="005025A9">
        <w:rPr>
          <w:sz w:val="22"/>
          <w:szCs w:val="22"/>
          <w:lang w:val="en-GB"/>
        </w:rPr>
        <w:t xml:space="preserve"> emissions reductions, from these. </w:t>
      </w:r>
      <w:r w:rsidR="006459B2">
        <w:rPr>
          <w:sz w:val="22"/>
          <w:szCs w:val="22"/>
          <w:lang w:val="en-GB"/>
        </w:rPr>
        <w:t>C</w:t>
      </w:r>
      <w:r w:rsidRPr="005025A9">
        <w:rPr>
          <w:sz w:val="22"/>
          <w:szCs w:val="22"/>
          <w:lang w:val="en-GB"/>
        </w:rPr>
        <w:t xml:space="preserve">onsistent tracking of climate finance is likewise absent, though the assessment </w:t>
      </w:r>
      <w:r w:rsidR="006459B2" w:rsidRPr="005025A9">
        <w:rPr>
          <w:sz w:val="22"/>
          <w:szCs w:val="22"/>
          <w:lang w:val="en-GB"/>
        </w:rPr>
        <w:t>tr</w:t>
      </w:r>
      <w:r w:rsidR="006459B2">
        <w:rPr>
          <w:sz w:val="22"/>
          <w:szCs w:val="22"/>
          <w:lang w:val="en-GB"/>
        </w:rPr>
        <w:t>ies</w:t>
      </w:r>
      <w:r w:rsidR="006459B2" w:rsidRPr="005025A9">
        <w:rPr>
          <w:sz w:val="22"/>
          <w:szCs w:val="22"/>
          <w:lang w:val="en-GB"/>
        </w:rPr>
        <w:t xml:space="preserve"> </w:t>
      </w:r>
      <w:r w:rsidRPr="005025A9">
        <w:rPr>
          <w:sz w:val="22"/>
          <w:szCs w:val="22"/>
          <w:lang w:val="en-GB"/>
        </w:rPr>
        <w:t xml:space="preserve">to </w:t>
      </w:r>
      <w:r w:rsidRPr="006A0306">
        <w:rPr>
          <w:sz w:val="22"/>
          <w:szCs w:val="22"/>
          <w:lang w:val="en-GB"/>
        </w:rPr>
        <w:t xml:space="preserve">assess the </w:t>
      </w:r>
      <w:r w:rsidRPr="00A37853">
        <w:rPr>
          <w:sz w:val="22"/>
          <w:szCs w:val="22"/>
          <w:lang w:val="en-GB"/>
        </w:rPr>
        <w:t>finance spent and resulting gap, compared to the needs expressed</w:t>
      </w:r>
      <w:r w:rsidRPr="006A0306">
        <w:rPr>
          <w:sz w:val="22"/>
          <w:szCs w:val="22"/>
          <w:lang w:val="en-GB"/>
        </w:rPr>
        <w:t xml:space="preserve"> at the onset of CRGE. The assessment finds that the</w:t>
      </w:r>
      <w:r w:rsidRPr="005025A9">
        <w:rPr>
          <w:sz w:val="22"/>
          <w:szCs w:val="22"/>
          <w:lang w:val="en-GB"/>
        </w:rPr>
        <w:t xml:space="preserve"> </w:t>
      </w:r>
      <w:r w:rsidRPr="005025A9">
        <w:rPr>
          <w:sz w:val="22"/>
          <w:szCs w:val="22"/>
          <w:lang w:val="en-GB"/>
        </w:rPr>
        <w:lastRenderedPageBreak/>
        <w:t xml:space="preserve">CRGE warrants an update due to the past </w:t>
      </w:r>
      <w:r w:rsidR="006459B2">
        <w:rPr>
          <w:sz w:val="22"/>
          <w:szCs w:val="22"/>
          <w:lang w:val="en-GB"/>
        </w:rPr>
        <w:t>ten</w:t>
      </w:r>
      <w:r w:rsidR="006459B2" w:rsidRPr="005025A9">
        <w:rPr>
          <w:sz w:val="22"/>
          <w:szCs w:val="22"/>
          <w:lang w:val="en-GB"/>
        </w:rPr>
        <w:t xml:space="preserve"> </w:t>
      </w:r>
      <w:r w:rsidRPr="005025A9">
        <w:rPr>
          <w:sz w:val="22"/>
          <w:szCs w:val="22"/>
          <w:lang w:val="en-GB"/>
        </w:rPr>
        <w:t xml:space="preserve">years of developments in Ethiopia. It suggests that </w:t>
      </w:r>
      <w:r w:rsidRPr="00A37853">
        <w:rPr>
          <w:color w:val="000000" w:themeColor="text1"/>
          <w:sz w:val="22"/>
          <w:szCs w:val="22"/>
          <w:lang w:val="en-GB"/>
        </w:rPr>
        <w:t xml:space="preserve">a new national and sectoral GHG inventory is conducted (baseline), as well as projections established. </w:t>
      </w:r>
      <w:r w:rsidR="006459B2">
        <w:rPr>
          <w:sz w:val="22"/>
          <w:szCs w:val="22"/>
          <w:lang w:val="en-GB"/>
        </w:rPr>
        <w:t>The s</w:t>
      </w:r>
      <w:r w:rsidR="006459B2" w:rsidRPr="005025A9">
        <w:rPr>
          <w:sz w:val="22"/>
          <w:szCs w:val="22"/>
          <w:lang w:val="en-GB"/>
        </w:rPr>
        <w:t xml:space="preserve">ame </w:t>
      </w:r>
      <w:r w:rsidRPr="005025A9">
        <w:rPr>
          <w:sz w:val="22"/>
          <w:szCs w:val="22"/>
          <w:lang w:val="en-GB"/>
        </w:rPr>
        <w:t xml:space="preserve">goes for climate change risks and vulnerability. It also </w:t>
      </w:r>
      <w:r w:rsidR="007C219A" w:rsidRPr="005025A9">
        <w:rPr>
          <w:sz w:val="22"/>
          <w:szCs w:val="22"/>
          <w:lang w:val="en-GB"/>
        </w:rPr>
        <w:t>suggests</w:t>
      </w:r>
      <w:r w:rsidRPr="005025A9">
        <w:rPr>
          <w:sz w:val="22"/>
          <w:szCs w:val="22"/>
          <w:lang w:val="en-GB"/>
        </w:rPr>
        <w:t xml:space="preserve"> that future investments and interventions are explicitly conceptualised and aligned to the climate change ambitions and that a finance tracking system with coding is established. </w:t>
      </w:r>
      <w:r w:rsidR="006459B2">
        <w:rPr>
          <w:sz w:val="22"/>
          <w:szCs w:val="22"/>
          <w:lang w:val="en-GB"/>
        </w:rPr>
        <w:t>The n</w:t>
      </w:r>
      <w:r w:rsidR="006459B2" w:rsidRPr="003C3DCB">
        <w:rPr>
          <w:sz w:val="22"/>
          <w:szCs w:val="22"/>
          <w:lang w:val="en-GB"/>
        </w:rPr>
        <w:t xml:space="preserve">ext </w:t>
      </w:r>
      <w:r w:rsidRPr="003C3DCB">
        <w:rPr>
          <w:sz w:val="22"/>
          <w:szCs w:val="22"/>
          <w:lang w:val="en-GB"/>
        </w:rPr>
        <w:t xml:space="preserve">step is the update of the NDC, which is conducted over the coming half a year, with </w:t>
      </w:r>
      <w:r w:rsidR="006459B2">
        <w:rPr>
          <w:sz w:val="22"/>
          <w:szCs w:val="22"/>
          <w:lang w:val="en-GB"/>
        </w:rPr>
        <w:t>support from the</w:t>
      </w:r>
      <w:r w:rsidRPr="003C3DCB">
        <w:rPr>
          <w:sz w:val="22"/>
          <w:szCs w:val="22"/>
          <w:lang w:val="en-GB"/>
        </w:rPr>
        <w:t xml:space="preserve"> World Bank</w:t>
      </w:r>
      <w:r w:rsidRPr="005025A9">
        <w:rPr>
          <w:sz w:val="22"/>
          <w:szCs w:val="22"/>
          <w:lang w:val="en-GB"/>
        </w:rPr>
        <w:t xml:space="preserve">. The ambition is to elaborate the NDC in more detail and include new features (compared to </w:t>
      </w:r>
      <w:r w:rsidR="006459B2">
        <w:rPr>
          <w:sz w:val="22"/>
          <w:szCs w:val="22"/>
          <w:lang w:val="en-GB"/>
        </w:rPr>
        <w:t xml:space="preserve">the </w:t>
      </w:r>
      <w:r w:rsidRPr="005025A9">
        <w:rPr>
          <w:sz w:val="22"/>
          <w:szCs w:val="22"/>
          <w:lang w:val="en-GB"/>
        </w:rPr>
        <w:t>earlier version</w:t>
      </w:r>
      <w:r w:rsidR="006459B2">
        <w:rPr>
          <w:sz w:val="22"/>
          <w:szCs w:val="22"/>
          <w:lang w:val="en-GB"/>
        </w:rPr>
        <w:t>s</w:t>
      </w:r>
      <w:r w:rsidRPr="005025A9">
        <w:rPr>
          <w:sz w:val="22"/>
          <w:szCs w:val="22"/>
          <w:lang w:val="en-GB"/>
        </w:rPr>
        <w:t>) such as quantifiable targets and indicators, a split between conditional and unconditional, requirements for engagement in carbon markets</w:t>
      </w:r>
      <w:r w:rsidR="006459B2">
        <w:rPr>
          <w:sz w:val="22"/>
          <w:szCs w:val="22"/>
          <w:lang w:val="en-GB"/>
        </w:rPr>
        <w:t>,</w:t>
      </w:r>
      <w:r w:rsidRPr="005025A9">
        <w:rPr>
          <w:sz w:val="22"/>
          <w:szCs w:val="22"/>
          <w:lang w:val="en-GB"/>
        </w:rPr>
        <w:t xml:space="preserve"> etc.   </w:t>
      </w:r>
    </w:p>
    <w:p w14:paraId="249A10C2" w14:textId="79F90387" w:rsidR="00CC7C91" w:rsidRPr="00E051D8" w:rsidRDefault="00CC7C91" w:rsidP="00682A65">
      <w:pPr>
        <w:pStyle w:val="t27"/>
        <w:tabs>
          <w:tab w:val="left" w:pos="1201"/>
          <w:tab w:val="left" w:pos="4824"/>
        </w:tabs>
        <w:spacing w:line="360" w:lineRule="auto"/>
        <w:jc w:val="both"/>
        <w:rPr>
          <w:sz w:val="22"/>
          <w:szCs w:val="22"/>
          <w:lang w:val="en-GB"/>
        </w:rPr>
      </w:pPr>
      <w:r w:rsidRPr="005025A9">
        <w:rPr>
          <w:sz w:val="22"/>
          <w:szCs w:val="22"/>
          <w:lang w:val="en-GB"/>
        </w:rPr>
        <w:t xml:space="preserve">ICAT </w:t>
      </w:r>
      <w:r w:rsidRPr="008C3EBA">
        <w:rPr>
          <w:sz w:val="22"/>
          <w:szCs w:val="22"/>
          <w:lang w:val="en-GB"/>
        </w:rPr>
        <w:t xml:space="preserve">support will lead to </w:t>
      </w:r>
      <w:r w:rsidRPr="00A37853">
        <w:rPr>
          <w:sz w:val="22"/>
          <w:szCs w:val="22"/>
          <w:lang w:val="en-GB"/>
        </w:rPr>
        <w:t xml:space="preserve">improved </w:t>
      </w:r>
      <w:r w:rsidR="00CC00A7">
        <w:rPr>
          <w:sz w:val="22"/>
          <w:szCs w:val="22"/>
          <w:lang w:val="en-GB"/>
        </w:rPr>
        <w:t xml:space="preserve">MRV </w:t>
      </w:r>
      <w:r w:rsidRPr="00A37853">
        <w:rPr>
          <w:sz w:val="22"/>
          <w:szCs w:val="22"/>
          <w:lang w:val="en-GB"/>
        </w:rPr>
        <w:t>capacity of government experts involved in MRV, especially</w:t>
      </w:r>
      <w:r w:rsidRPr="008C3EBA">
        <w:rPr>
          <w:sz w:val="22"/>
          <w:szCs w:val="22"/>
          <w:lang w:val="en-GB"/>
        </w:rPr>
        <w:t xml:space="preserve"> in</w:t>
      </w:r>
      <w:r w:rsidRPr="005025A9">
        <w:rPr>
          <w:sz w:val="22"/>
          <w:szCs w:val="22"/>
          <w:lang w:val="en-GB"/>
        </w:rPr>
        <w:t xml:space="preserve"> the institutions with responsibility </w:t>
      </w:r>
      <w:r w:rsidR="006459B2">
        <w:rPr>
          <w:sz w:val="22"/>
          <w:szCs w:val="22"/>
          <w:lang w:val="en-GB"/>
        </w:rPr>
        <w:t>for</w:t>
      </w:r>
      <w:r w:rsidR="006459B2" w:rsidRPr="005025A9">
        <w:rPr>
          <w:sz w:val="22"/>
          <w:szCs w:val="22"/>
          <w:lang w:val="en-GB"/>
        </w:rPr>
        <w:t xml:space="preserve"> </w:t>
      </w:r>
      <w:r w:rsidRPr="005025A9">
        <w:rPr>
          <w:sz w:val="22"/>
          <w:szCs w:val="22"/>
          <w:lang w:val="en-GB"/>
        </w:rPr>
        <w:t>the CRGE policies and actions</w:t>
      </w:r>
      <w:r w:rsidR="000F6C60">
        <w:rPr>
          <w:sz w:val="22"/>
          <w:szCs w:val="22"/>
          <w:lang w:val="en-GB"/>
        </w:rPr>
        <w:t xml:space="preserve">. </w:t>
      </w:r>
      <w:r w:rsidRPr="005025A9">
        <w:rPr>
          <w:sz w:val="22"/>
          <w:szCs w:val="22"/>
          <w:lang w:val="en-GB"/>
        </w:rPr>
        <w:t>Energy</w:t>
      </w:r>
      <w:r w:rsidR="000F6C60">
        <w:rPr>
          <w:sz w:val="22"/>
          <w:szCs w:val="22"/>
          <w:lang w:val="en-GB"/>
        </w:rPr>
        <w:t xml:space="preserve"> is one of the sector</w:t>
      </w:r>
      <w:r w:rsidR="006459B2">
        <w:rPr>
          <w:sz w:val="22"/>
          <w:szCs w:val="22"/>
          <w:lang w:val="en-GB"/>
        </w:rPr>
        <w:t>s</w:t>
      </w:r>
      <w:r w:rsidR="000F6C60">
        <w:rPr>
          <w:sz w:val="22"/>
          <w:szCs w:val="22"/>
          <w:lang w:val="en-GB"/>
        </w:rPr>
        <w:t xml:space="preserve"> of ICAT focus</w:t>
      </w:r>
      <w:r w:rsidR="006459B2">
        <w:rPr>
          <w:sz w:val="22"/>
          <w:szCs w:val="22"/>
          <w:lang w:val="en-GB"/>
        </w:rPr>
        <w:t>. T</w:t>
      </w:r>
      <w:r w:rsidR="000F6C60">
        <w:rPr>
          <w:sz w:val="22"/>
          <w:szCs w:val="22"/>
          <w:lang w:val="en-GB"/>
        </w:rPr>
        <w:t>hus</w:t>
      </w:r>
      <w:r w:rsidRPr="005025A9">
        <w:rPr>
          <w:sz w:val="22"/>
          <w:szCs w:val="22"/>
          <w:lang w:val="en-GB"/>
        </w:rPr>
        <w:t xml:space="preserve"> the MRV experts of the Commission</w:t>
      </w:r>
      <w:r w:rsidR="000F6C60">
        <w:rPr>
          <w:sz w:val="22"/>
          <w:szCs w:val="22"/>
          <w:lang w:val="en-GB"/>
        </w:rPr>
        <w:t xml:space="preserve"> and the Ministry will be capacitated on</w:t>
      </w:r>
      <w:r w:rsidRPr="005025A9">
        <w:rPr>
          <w:sz w:val="22"/>
          <w:szCs w:val="22"/>
          <w:lang w:val="en-GB"/>
        </w:rPr>
        <w:t xml:space="preserve"> the Enhanced Transparency Framework of the Paris Agreement and the procedures and methodologies required to regularly produce reporting that meets basic quality principles of the UNFCCC reporting guideline, which are: Completeness, Accuracy, Transparency, Consistency</w:t>
      </w:r>
      <w:r w:rsidR="006459B2">
        <w:rPr>
          <w:sz w:val="22"/>
          <w:szCs w:val="22"/>
          <w:lang w:val="en-GB"/>
        </w:rPr>
        <w:t>,</w:t>
      </w:r>
      <w:r w:rsidRPr="005025A9">
        <w:rPr>
          <w:sz w:val="22"/>
          <w:szCs w:val="22"/>
          <w:lang w:val="en-GB"/>
        </w:rPr>
        <w:t xml:space="preserve"> and Comparability. ICAT support will </w:t>
      </w:r>
      <w:r w:rsidR="000F6C60">
        <w:rPr>
          <w:sz w:val="22"/>
          <w:szCs w:val="22"/>
          <w:lang w:val="en-GB"/>
        </w:rPr>
        <w:t xml:space="preserve">furthermore contribute to </w:t>
      </w:r>
      <w:r w:rsidRPr="005025A9">
        <w:rPr>
          <w:sz w:val="22"/>
          <w:szCs w:val="22"/>
          <w:lang w:val="en-GB"/>
        </w:rPr>
        <w:t>inform the government of Ethiopia about the GHG mitigation impacts of the selected CRGE policies/action, and thereby inform the government on how to improve the overall quality of the mitigation actions</w:t>
      </w:r>
      <w:r w:rsidR="006459B2">
        <w:rPr>
          <w:sz w:val="22"/>
          <w:szCs w:val="22"/>
          <w:lang w:val="en-GB"/>
        </w:rPr>
        <w:t>,</w:t>
      </w:r>
      <w:r w:rsidRPr="005025A9">
        <w:rPr>
          <w:sz w:val="22"/>
          <w:szCs w:val="22"/>
          <w:lang w:val="en-GB"/>
        </w:rPr>
        <w:t xml:space="preserve"> e.g.</w:t>
      </w:r>
      <w:r w:rsidR="006459B2">
        <w:rPr>
          <w:sz w:val="22"/>
          <w:szCs w:val="22"/>
          <w:lang w:val="en-GB"/>
        </w:rPr>
        <w:t>,</w:t>
      </w:r>
      <w:r w:rsidRPr="005025A9">
        <w:rPr>
          <w:sz w:val="22"/>
          <w:szCs w:val="22"/>
          <w:lang w:val="en-GB"/>
        </w:rPr>
        <w:t xml:space="preserve"> </w:t>
      </w:r>
      <w:r w:rsidR="00682A65">
        <w:rPr>
          <w:sz w:val="22"/>
          <w:szCs w:val="22"/>
          <w:lang w:val="en-GB"/>
        </w:rPr>
        <w:t>in relation to the updated NDC.</w:t>
      </w:r>
    </w:p>
    <w:p w14:paraId="4581AA8F" w14:textId="6EBA4E2B"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 xml:space="preserve">Overall objectives </w:t>
      </w:r>
    </w:p>
    <w:p w14:paraId="1A78FFC0" w14:textId="77777777" w:rsidR="009D0899" w:rsidRPr="00E051D8" w:rsidRDefault="009D0899" w:rsidP="005C7436">
      <w:pPr>
        <w:spacing w:line="360" w:lineRule="auto"/>
        <w:jc w:val="both"/>
        <w:rPr>
          <w:rFonts w:eastAsia="Calibri"/>
          <w:kern w:val="0"/>
          <w:sz w:val="22"/>
          <w:szCs w:val="22"/>
          <w:lang w:val="en-PH"/>
        </w:rPr>
      </w:pPr>
      <w:r>
        <w:rPr>
          <w:rFonts w:eastAsia="Calibri"/>
          <w:kern w:val="0"/>
          <w:sz w:val="22"/>
          <w:szCs w:val="22"/>
          <w:lang w:val="en-PH"/>
        </w:rPr>
        <w:t xml:space="preserve">The overall objectives of the assignment are: </w:t>
      </w:r>
    </w:p>
    <w:p w14:paraId="2EF82D63" w14:textId="435A6D61" w:rsidR="009D0899" w:rsidRDefault="009D0899" w:rsidP="00A37853">
      <w:pPr>
        <w:pStyle w:val="t27"/>
        <w:numPr>
          <w:ilvl w:val="0"/>
          <w:numId w:val="14"/>
        </w:numPr>
        <w:tabs>
          <w:tab w:val="left" w:pos="1201"/>
          <w:tab w:val="left" w:pos="4824"/>
        </w:tabs>
        <w:spacing w:line="360" w:lineRule="auto"/>
        <w:jc w:val="both"/>
        <w:rPr>
          <w:sz w:val="22"/>
          <w:szCs w:val="22"/>
        </w:rPr>
      </w:pPr>
      <w:r>
        <w:rPr>
          <w:sz w:val="22"/>
          <w:szCs w:val="22"/>
        </w:rPr>
        <w:t>Providing the government information on the mitigation effects of selected mitigation policies and actions in the country's energy sector</w:t>
      </w:r>
      <w:r w:rsidR="00B44CFA">
        <w:rPr>
          <w:sz w:val="22"/>
          <w:szCs w:val="22"/>
        </w:rPr>
        <w:t xml:space="preserve"> till 2020 and 2030</w:t>
      </w:r>
      <w:r>
        <w:rPr>
          <w:sz w:val="22"/>
          <w:szCs w:val="22"/>
        </w:rPr>
        <w:t xml:space="preserve">, which will be </w:t>
      </w:r>
      <w:r w:rsidR="006459B2">
        <w:rPr>
          <w:sz w:val="22"/>
          <w:szCs w:val="22"/>
        </w:rPr>
        <w:t xml:space="preserve">an </w:t>
      </w:r>
      <w:r>
        <w:rPr>
          <w:sz w:val="22"/>
          <w:szCs w:val="22"/>
        </w:rPr>
        <w:t xml:space="preserve">important basis for future mitigation policy making, target setting, and action planning; </w:t>
      </w:r>
    </w:p>
    <w:p w14:paraId="01F1F121" w14:textId="77777777" w:rsidR="006C5614" w:rsidRPr="00EB6491" w:rsidRDefault="009D0899" w:rsidP="00A37853">
      <w:pPr>
        <w:pStyle w:val="t27"/>
        <w:numPr>
          <w:ilvl w:val="0"/>
          <w:numId w:val="14"/>
        </w:numPr>
        <w:tabs>
          <w:tab w:val="left" w:pos="1201"/>
          <w:tab w:val="left" w:pos="4824"/>
        </w:tabs>
        <w:spacing w:line="360" w:lineRule="auto"/>
        <w:jc w:val="both"/>
        <w:rPr>
          <w:rFonts w:eastAsia="Calibri"/>
          <w:sz w:val="22"/>
          <w:szCs w:val="22"/>
          <w:lang w:val="en-PH"/>
        </w:rPr>
      </w:pPr>
      <w:r>
        <w:rPr>
          <w:sz w:val="22"/>
          <w:szCs w:val="22"/>
        </w:rPr>
        <w:t>To improve the coun</w:t>
      </w:r>
      <w:r w:rsidR="006C5614">
        <w:rPr>
          <w:sz w:val="22"/>
          <w:szCs w:val="22"/>
        </w:rPr>
        <w:t>try's capacity in complying with the international rules on climate action transparency through targeted training for the country's inventory preparation and MRV team for the energy sector.</w:t>
      </w:r>
    </w:p>
    <w:p w14:paraId="39BC4160" w14:textId="77777777" w:rsidR="007C0AD0" w:rsidRPr="00A37853" w:rsidRDefault="007C0AD0" w:rsidP="00EB6491">
      <w:pPr>
        <w:pStyle w:val="t27"/>
        <w:tabs>
          <w:tab w:val="left" w:pos="1201"/>
          <w:tab w:val="left" w:pos="4824"/>
        </w:tabs>
        <w:spacing w:line="360" w:lineRule="auto"/>
        <w:ind w:left="720"/>
        <w:jc w:val="both"/>
        <w:rPr>
          <w:rFonts w:eastAsia="Calibri"/>
          <w:sz w:val="22"/>
          <w:szCs w:val="22"/>
          <w:lang w:val="en-PH"/>
        </w:rPr>
      </w:pPr>
    </w:p>
    <w:p w14:paraId="0624D72C" w14:textId="77777777" w:rsidR="005C7436" w:rsidRPr="00E051D8" w:rsidRDefault="005C7436" w:rsidP="00A37853">
      <w:pPr>
        <w:pStyle w:val="t27"/>
        <w:tabs>
          <w:tab w:val="left" w:pos="1201"/>
          <w:tab w:val="left" w:pos="4824"/>
        </w:tabs>
        <w:spacing w:line="360" w:lineRule="auto"/>
        <w:jc w:val="both"/>
        <w:rPr>
          <w:rFonts w:eastAsia="Calibri"/>
          <w:b/>
          <w:sz w:val="22"/>
          <w:szCs w:val="22"/>
          <w:lang w:val="en-PH"/>
        </w:rPr>
      </w:pPr>
      <w:r w:rsidRPr="00E051D8">
        <w:rPr>
          <w:rFonts w:eastAsia="Calibri"/>
          <w:b/>
          <w:sz w:val="22"/>
          <w:szCs w:val="22"/>
          <w:lang w:val="en-PH"/>
        </w:rPr>
        <w:t>III. Specific Objectives</w:t>
      </w:r>
    </w:p>
    <w:p w14:paraId="4E5F6E8D" w14:textId="77777777" w:rsidR="006C5614" w:rsidRDefault="006C5614" w:rsidP="005C7436">
      <w:pPr>
        <w:widowControl/>
        <w:overflowPunct/>
        <w:adjustRightInd/>
        <w:spacing w:line="360" w:lineRule="auto"/>
        <w:jc w:val="both"/>
        <w:rPr>
          <w:rFonts w:eastAsia="Cambria"/>
          <w:sz w:val="22"/>
          <w:szCs w:val="22"/>
        </w:rPr>
      </w:pPr>
      <w:r>
        <w:rPr>
          <w:rFonts w:eastAsia="Cambria"/>
          <w:sz w:val="22"/>
          <w:szCs w:val="22"/>
        </w:rPr>
        <w:t>Specific objectives:</w:t>
      </w:r>
    </w:p>
    <w:p w14:paraId="3E210093" w14:textId="01C1A322" w:rsidR="006C5614" w:rsidRDefault="006C5614" w:rsidP="00A37853">
      <w:pPr>
        <w:widowControl/>
        <w:numPr>
          <w:ilvl w:val="0"/>
          <w:numId w:val="15"/>
        </w:numPr>
        <w:overflowPunct/>
        <w:adjustRightInd/>
        <w:spacing w:line="360" w:lineRule="auto"/>
        <w:jc w:val="both"/>
        <w:rPr>
          <w:rFonts w:eastAsia="Cambria"/>
          <w:sz w:val="22"/>
          <w:szCs w:val="22"/>
        </w:rPr>
      </w:pPr>
      <w:r>
        <w:rPr>
          <w:rFonts w:eastAsia="Cambria"/>
          <w:sz w:val="22"/>
          <w:szCs w:val="22"/>
        </w:rPr>
        <w:t xml:space="preserve">To map the implementation status </w:t>
      </w:r>
      <w:r w:rsidR="00DB63FE">
        <w:rPr>
          <w:rFonts w:eastAsia="Cambria"/>
          <w:sz w:val="22"/>
          <w:szCs w:val="22"/>
        </w:rPr>
        <w:t xml:space="preserve">of the selected policies and actions </w:t>
      </w:r>
      <w:r w:rsidR="00032B6D">
        <w:rPr>
          <w:rFonts w:eastAsia="Cambria"/>
          <w:sz w:val="22"/>
          <w:szCs w:val="22"/>
        </w:rPr>
        <w:t xml:space="preserve">from CRGE 2011 to date </w:t>
      </w:r>
      <w:r w:rsidR="00DB63FE">
        <w:rPr>
          <w:rFonts w:eastAsia="Cambria"/>
          <w:sz w:val="22"/>
          <w:szCs w:val="22"/>
        </w:rPr>
        <w:t xml:space="preserve">and </w:t>
      </w:r>
      <w:r w:rsidR="004075D6">
        <w:rPr>
          <w:rFonts w:eastAsia="Cambria"/>
          <w:sz w:val="22"/>
          <w:szCs w:val="22"/>
        </w:rPr>
        <w:t xml:space="preserve">the </w:t>
      </w:r>
      <w:r>
        <w:rPr>
          <w:rFonts w:eastAsia="Cambria"/>
          <w:sz w:val="22"/>
          <w:szCs w:val="22"/>
        </w:rPr>
        <w:t>data availability</w:t>
      </w:r>
      <w:r w:rsidR="004075D6">
        <w:rPr>
          <w:rFonts w:eastAsia="Cambria"/>
          <w:sz w:val="22"/>
          <w:szCs w:val="22"/>
        </w:rPr>
        <w:t xml:space="preserve"> </w:t>
      </w:r>
      <w:r w:rsidR="008C3EBA">
        <w:rPr>
          <w:rFonts w:eastAsia="Cambria"/>
          <w:sz w:val="22"/>
          <w:szCs w:val="22"/>
        </w:rPr>
        <w:t xml:space="preserve">in terms of </w:t>
      </w:r>
      <w:r w:rsidR="004075D6">
        <w:rPr>
          <w:rFonts w:eastAsia="Cambria"/>
          <w:sz w:val="22"/>
          <w:szCs w:val="22"/>
        </w:rPr>
        <w:t>the baseline and implementation details, incl</w:t>
      </w:r>
      <w:r w:rsidR="006459B2">
        <w:rPr>
          <w:rFonts w:eastAsia="Cambria"/>
          <w:sz w:val="22"/>
          <w:szCs w:val="22"/>
        </w:rPr>
        <w:t>uding</w:t>
      </w:r>
      <w:r>
        <w:rPr>
          <w:rFonts w:eastAsia="Cambria"/>
          <w:sz w:val="22"/>
          <w:szCs w:val="22"/>
        </w:rPr>
        <w:t xml:space="preserve"> </w:t>
      </w:r>
      <w:r w:rsidR="00DB63FE">
        <w:rPr>
          <w:rFonts w:eastAsia="Cambria"/>
          <w:sz w:val="22"/>
          <w:szCs w:val="22"/>
        </w:rPr>
        <w:t xml:space="preserve">their </w:t>
      </w:r>
      <w:r w:rsidR="00800B66">
        <w:rPr>
          <w:rFonts w:eastAsia="Cambria"/>
          <w:sz w:val="22"/>
          <w:szCs w:val="22"/>
        </w:rPr>
        <w:t xml:space="preserve">direct and indirect </w:t>
      </w:r>
      <w:r w:rsidR="00DB63FE">
        <w:rPr>
          <w:rFonts w:eastAsia="Cambria"/>
          <w:sz w:val="22"/>
          <w:szCs w:val="22"/>
        </w:rPr>
        <w:t xml:space="preserve">energy saving and GHG emission reduction effects. </w:t>
      </w:r>
    </w:p>
    <w:p w14:paraId="131FC9B8" w14:textId="77777777" w:rsidR="00800B66" w:rsidRDefault="00800B66" w:rsidP="00A37853">
      <w:pPr>
        <w:widowControl/>
        <w:numPr>
          <w:ilvl w:val="0"/>
          <w:numId w:val="15"/>
        </w:numPr>
        <w:overflowPunct/>
        <w:adjustRightInd/>
        <w:spacing w:line="360" w:lineRule="auto"/>
        <w:jc w:val="both"/>
        <w:rPr>
          <w:rFonts w:eastAsia="Cambria"/>
          <w:sz w:val="22"/>
          <w:szCs w:val="22"/>
        </w:rPr>
      </w:pPr>
      <w:r>
        <w:rPr>
          <w:rFonts w:eastAsia="Cambria"/>
          <w:sz w:val="22"/>
          <w:szCs w:val="22"/>
        </w:rPr>
        <w:t xml:space="preserve">To determine the temporal and spatial boundary and select the appropriate methodology for each policy/action's mitigation impact assessment; </w:t>
      </w:r>
    </w:p>
    <w:p w14:paraId="640B4AE2" w14:textId="34CE3283" w:rsidR="007C0AD0" w:rsidRDefault="006C5614" w:rsidP="00A37853">
      <w:pPr>
        <w:widowControl/>
        <w:numPr>
          <w:ilvl w:val="0"/>
          <w:numId w:val="15"/>
        </w:numPr>
        <w:overflowPunct/>
        <w:adjustRightInd/>
        <w:spacing w:line="360" w:lineRule="auto"/>
        <w:jc w:val="both"/>
        <w:rPr>
          <w:rFonts w:eastAsia="Cambria"/>
          <w:sz w:val="22"/>
          <w:szCs w:val="22"/>
        </w:rPr>
      </w:pPr>
      <w:r>
        <w:rPr>
          <w:rFonts w:eastAsia="Cambria"/>
          <w:sz w:val="22"/>
          <w:szCs w:val="22"/>
        </w:rPr>
        <w:t xml:space="preserve">To make </w:t>
      </w:r>
      <w:r w:rsidR="006459B2">
        <w:rPr>
          <w:rFonts w:eastAsia="Cambria"/>
          <w:sz w:val="22"/>
          <w:szCs w:val="22"/>
        </w:rPr>
        <w:t xml:space="preserve">a </w:t>
      </w:r>
      <w:r>
        <w:rPr>
          <w:rFonts w:eastAsia="Cambria"/>
          <w:sz w:val="22"/>
          <w:szCs w:val="22"/>
        </w:rPr>
        <w:t>quantitative assessment o</w:t>
      </w:r>
      <w:r w:rsidR="004075D6">
        <w:rPr>
          <w:rFonts w:eastAsia="Cambria"/>
          <w:sz w:val="22"/>
          <w:szCs w:val="22"/>
        </w:rPr>
        <w:t>f</w:t>
      </w:r>
      <w:r>
        <w:rPr>
          <w:rFonts w:eastAsia="Cambria"/>
          <w:sz w:val="22"/>
          <w:szCs w:val="22"/>
        </w:rPr>
        <w:t xml:space="preserve"> the GHG emission reduction effects of </w:t>
      </w:r>
      <w:r w:rsidR="00032B6D">
        <w:rPr>
          <w:rFonts w:eastAsia="Cambria"/>
          <w:sz w:val="22"/>
          <w:szCs w:val="22"/>
        </w:rPr>
        <w:t xml:space="preserve">the </w:t>
      </w:r>
      <w:r>
        <w:rPr>
          <w:rFonts w:eastAsia="Cambria"/>
          <w:sz w:val="22"/>
          <w:szCs w:val="22"/>
        </w:rPr>
        <w:t>mitigation policies and actions in the energy sector</w:t>
      </w:r>
      <w:r w:rsidR="00800B66">
        <w:rPr>
          <w:rFonts w:eastAsia="Cambria"/>
          <w:sz w:val="22"/>
          <w:szCs w:val="22"/>
        </w:rPr>
        <w:t xml:space="preserve">, including the duration and annual and accumulated volume of their direct mitigation effects. </w:t>
      </w:r>
    </w:p>
    <w:p w14:paraId="2044B225" w14:textId="7C9C1003" w:rsidR="007C0AD0" w:rsidRDefault="00800B66" w:rsidP="00EB6491">
      <w:pPr>
        <w:widowControl/>
        <w:numPr>
          <w:ilvl w:val="0"/>
          <w:numId w:val="15"/>
        </w:numPr>
        <w:overflowPunct/>
        <w:adjustRightInd/>
        <w:spacing w:line="360" w:lineRule="auto"/>
        <w:jc w:val="both"/>
        <w:rPr>
          <w:rFonts w:eastAsia="Cambria"/>
          <w:sz w:val="22"/>
          <w:szCs w:val="22"/>
        </w:rPr>
      </w:pPr>
      <w:r w:rsidRPr="007C0AD0">
        <w:rPr>
          <w:rFonts w:eastAsia="Cambria"/>
          <w:sz w:val="22"/>
          <w:szCs w:val="22"/>
        </w:rPr>
        <w:t xml:space="preserve">Determine </w:t>
      </w:r>
      <w:r w:rsidR="008C3EBA" w:rsidRPr="007C0AD0">
        <w:rPr>
          <w:rFonts w:eastAsia="Cambria"/>
          <w:sz w:val="22"/>
          <w:szCs w:val="22"/>
        </w:rPr>
        <w:t xml:space="preserve">outside influencing factors on the policies and actions assessed, incl. synergies and contradictions with other policies, making it challenging to attribute </w:t>
      </w:r>
      <w:r w:rsidRPr="007C0AD0">
        <w:rPr>
          <w:rFonts w:eastAsia="Cambria"/>
          <w:sz w:val="22"/>
          <w:szCs w:val="22"/>
        </w:rPr>
        <w:t xml:space="preserve">mitigation effects. </w:t>
      </w:r>
      <w:r w:rsidR="008C3EBA" w:rsidRPr="007C0AD0">
        <w:rPr>
          <w:rFonts w:eastAsia="Cambria"/>
          <w:sz w:val="22"/>
          <w:szCs w:val="22"/>
        </w:rPr>
        <w:t>(Often</w:t>
      </w:r>
      <w:r w:rsidR="00A37853" w:rsidRPr="007C0AD0">
        <w:rPr>
          <w:rFonts w:eastAsia="Cambria"/>
          <w:sz w:val="22"/>
          <w:szCs w:val="22"/>
        </w:rPr>
        <w:t>,</w:t>
      </w:r>
      <w:r w:rsidR="008C3EBA" w:rsidRPr="007C0AD0">
        <w:rPr>
          <w:rFonts w:eastAsia="Cambria"/>
          <w:sz w:val="22"/>
          <w:szCs w:val="22"/>
        </w:rPr>
        <w:t xml:space="preserve"> the </w:t>
      </w:r>
      <w:r w:rsidR="008C3EBA" w:rsidRPr="007C0AD0">
        <w:rPr>
          <w:rFonts w:eastAsia="Cambria"/>
          <w:sz w:val="22"/>
          <w:szCs w:val="22"/>
        </w:rPr>
        <w:lastRenderedPageBreak/>
        <w:t xml:space="preserve">technology and emission levels of activity </w:t>
      </w:r>
      <w:r w:rsidR="006459B2">
        <w:rPr>
          <w:rFonts w:eastAsia="Cambria"/>
          <w:sz w:val="22"/>
          <w:szCs w:val="22"/>
        </w:rPr>
        <w:t>are</w:t>
      </w:r>
      <w:r w:rsidR="006459B2" w:rsidRPr="007C0AD0">
        <w:rPr>
          <w:rFonts w:eastAsia="Cambria"/>
          <w:sz w:val="22"/>
          <w:szCs w:val="22"/>
        </w:rPr>
        <w:t xml:space="preserve"> </w:t>
      </w:r>
      <w:r w:rsidR="008C3EBA" w:rsidRPr="007C0AD0">
        <w:rPr>
          <w:rFonts w:eastAsia="Cambria"/>
          <w:sz w:val="22"/>
          <w:szCs w:val="22"/>
        </w:rPr>
        <w:t xml:space="preserve">subject to the direct and indirect influences of multiple policies and programs. In some cases, it may be difficult to attribute the change to a single policy); </w:t>
      </w:r>
    </w:p>
    <w:p w14:paraId="0672FA74" w14:textId="16A57968" w:rsidR="007C0AD0" w:rsidRPr="00A04723" w:rsidRDefault="007C0AD0" w:rsidP="00EB6491">
      <w:pPr>
        <w:widowControl/>
        <w:numPr>
          <w:ilvl w:val="0"/>
          <w:numId w:val="15"/>
        </w:numPr>
        <w:overflowPunct/>
        <w:adjustRightInd/>
        <w:spacing w:line="360" w:lineRule="auto"/>
        <w:jc w:val="both"/>
        <w:rPr>
          <w:rFonts w:eastAsia="Cambria"/>
          <w:sz w:val="22"/>
          <w:szCs w:val="22"/>
        </w:rPr>
      </w:pPr>
      <w:r w:rsidRPr="007C0AD0">
        <w:rPr>
          <w:sz w:val="22"/>
          <w:szCs w:val="22"/>
        </w:rPr>
        <w:t xml:space="preserve">The assessment should include </w:t>
      </w:r>
      <w:r w:rsidR="006459B2">
        <w:rPr>
          <w:sz w:val="22"/>
          <w:szCs w:val="22"/>
        </w:rPr>
        <w:t xml:space="preserve">a </w:t>
      </w:r>
      <w:r w:rsidRPr="007C0AD0">
        <w:rPr>
          <w:sz w:val="22"/>
          <w:szCs w:val="22"/>
        </w:rPr>
        <w:t xml:space="preserve">quantitative estimation of both the emission reduction impacts and social-economic impacts of the selected policies and actions. </w:t>
      </w:r>
    </w:p>
    <w:p w14:paraId="3F244E12" w14:textId="77777777" w:rsidR="00B44CFA" w:rsidRPr="00500007" w:rsidRDefault="00B44CFA" w:rsidP="00827CA6">
      <w:pPr>
        <w:widowControl/>
        <w:overflowPunct/>
        <w:adjustRightInd/>
        <w:spacing w:line="360" w:lineRule="auto"/>
        <w:jc w:val="both"/>
        <w:rPr>
          <w:rFonts w:eastAsia="SimSun"/>
          <w:b/>
          <w:kern w:val="0"/>
          <w:sz w:val="22"/>
          <w:szCs w:val="22"/>
        </w:rPr>
      </w:pPr>
      <w:r w:rsidRPr="00500007">
        <w:rPr>
          <w:rFonts w:eastAsia="Cambria"/>
          <w:sz w:val="22"/>
          <w:szCs w:val="22"/>
        </w:rPr>
        <w:t xml:space="preserve">For the energy efficiency policies and measures, one option is to base the mitigation effect estimation on the </w:t>
      </w:r>
      <w:r w:rsidRPr="00500007">
        <w:rPr>
          <w:sz w:val="22"/>
          <w:szCs w:val="22"/>
        </w:rPr>
        <w:t>work of U4E (https://united4efficiency.org/).</w:t>
      </w:r>
    </w:p>
    <w:p w14:paraId="66B4B6CC" w14:textId="3F760C9A" w:rsidR="008C3EBA" w:rsidRPr="008C3EBA" w:rsidRDefault="008C3EBA" w:rsidP="00C05F0C">
      <w:pPr>
        <w:widowControl/>
        <w:overflowPunct/>
        <w:adjustRightInd/>
        <w:spacing w:line="360" w:lineRule="auto"/>
        <w:jc w:val="both"/>
        <w:rPr>
          <w:rFonts w:eastAsia="Cambria"/>
          <w:sz w:val="22"/>
          <w:szCs w:val="22"/>
        </w:rPr>
      </w:pPr>
    </w:p>
    <w:p w14:paraId="3DD5AFA3" w14:textId="17F5B107"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Scope of the Service (Work)</w:t>
      </w:r>
    </w:p>
    <w:p w14:paraId="49BFDFE6" w14:textId="77777777" w:rsidR="005C7436" w:rsidRPr="00E051D8" w:rsidRDefault="005C7436" w:rsidP="005C7436">
      <w:pPr>
        <w:widowControl/>
        <w:overflowPunct/>
        <w:autoSpaceDE w:val="0"/>
        <w:autoSpaceDN w:val="0"/>
        <w:spacing w:line="360" w:lineRule="auto"/>
        <w:rPr>
          <w:rFonts w:eastAsia="Calibri"/>
          <w:color w:val="00B0F0"/>
          <w:kern w:val="0"/>
          <w:sz w:val="22"/>
          <w:szCs w:val="22"/>
        </w:rPr>
      </w:pPr>
    </w:p>
    <w:p w14:paraId="60FD52AB" w14:textId="3E76E31E" w:rsidR="005C7436" w:rsidRPr="007C0AD0" w:rsidRDefault="005C7436" w:rsidP="00A37853">
      <w:pPr>
        <w:pStyle w:val="ListParagraph"/>
        <w:widowControl/>
        <w:overflowPunct/>
        <w:adjustRightInd/>
        <w:jc w:val="both"/>
        <w:rPr>
          <w:szCs w:val="22"/>
        </w:rPr>
      </w:pPr>
      <w:r>
        <w:rPr>
          <w:szCs w:val="22"/>
        </w:rPr>
        <w:t>T</w:t>
      </w:r>
      <w:r w:rsidRPr="00AC5BBC">
        <w:rPr>
          <w:szCs w:val="22"/>
        </w:rPr>
        <w:t>he consulting firm</w:t>
      </w:r>
      <w:r w:rsidR="004075D6">
        <w:rPr>
          <w:szCs w:val="22"/>
        </w:rPr>
        <w:t>/consultant</w:t>
      </w:r>
      <w:r w:rsidRPr="00AC5BBC">
        <w:rPr>
          <w:szCs w:val="22"/>
        </w:rPr>
        <w:t xml:space="preserve"> will work closely with </w:t>
      </w:r>
      <w:r w:rsidR="00CC00A7">
        <w:rPr>
          <w:bCs/>
          <w:szCs w:val="22"/>
        </w:rPr>
        <w:t xml:space="preserve">Ministry of Water, Irrigation and Energy </w:t>
      </w:r>
      <w:r w:rsidR="00CC00A7" w:rsidRPr="00143C65">
        <w:rPr>
          <w:bCs/>
          <w:szCs w:val="22"/>
        </w:rPr>
        <w:t>(</w:t>
      </w:r>
      <w:r w:rsidR="00CC00A7">
        <w:rPr>
          <w:bCs/>
          <w:szCs w:val="22"/>
        </w:rPr>
        <w:t>MoWIE</w:t>
      </w:r>
      <w:r w:rsidR="00CC00A7" w:rsidRPr="00143C65">
        <w:rPr>
          <w:bCs/>
          <w:szCs w:val="22"/>
        </w:rPr>
        <w:t>)</w:t>
      </w:r>
      <w:r w:rsidR="00924A80">
        <w:rPr>
          <w:szCs w:val="22"/>
        </w:rPr>
        <w:t>,</w:t>
      </w:r>
      <w:r w:rsidR="0049496B">
        <w:rPr>
          <w:szCs w:val="22"/>
        </w:rPr>
        <w:t xml:space="preserve"> </w:t>
      </w:r>
      <w:r>
        <w:rPr>
          <w:szCs w:val="22"/>
        </w:rPr>
        <w:t>EFCCC</w:t>
      </w:r>
      <w:r w:rsidR="00A37853">
        <w:rPr>
          <w:szCs w:val="22"/>
        </w:rPr>
        <w:t>,</w:t>
      </w:r>
      <w:r w:rsidRPr="00AC5BBC">
        <w:rPr>
          <w:szCs w:val="22"/>
        </w:rPr>
        <w:t xml:space="preserve"> and key stakeholders</w:t>
      </w:r>
      <w:r w:rsidR="00CC00A7">
        <w:rPr>
          <w:szCs w:val="22"/>
        </w:rPr>
        <w:t>:</w:t>
      </w:r>
      <w:r w:rsidRPr="00AC5BBC">
        <w:rPr>
          <w:szCs w:val="22"/>
        </w:rPr>
        <w:t xml:space="preserve"> Ministry </w:t>
      </w:r>
      <w:r w:rsidR="0049496B">
        <w:rPr>
          <w:szCs w:val="22"/>
        </w:rPr>
        <w:t>of Water (</w:t>
      </w:r>
      <w:r w:rsidR="0049496B" w:rsidRPr="0049496B">
        <w:rPr>
          <w:szCs w:val="22"/>
        </w:rPr>
        <w:t xml:space="preserve">Alternative Energy Development and </w:t>
      </w:r>
      <w:r w:rsidR="00A37853">
        <w:rPr>
          <w:szCs w:val="22"/>
        </w:rPr>
        <w:t>P</w:t>
      </w:r>
      <w:r w:rsidR="00A37853" w:rsidRPr="0049496B">
        <w:rPr>
          <w:szCs w:val="22"/>
        </w:rPr>
        <w:t xml:space="preserve">romotion </w:t>
      </w:r>
      <w:r w:rsidR="0049496B" w:rsidRPr="0049496B">
        <w:rPr>
          <w:szCs w:val="22"/>
        </w:rPr>
        <w:t>Center</w:t>
      </w:r>
      <w:r w:rsidR="0049496B">
        <w:rPr>
          <w:szCs w:val="22"/>
        </w:rPr>
        <w:t>),</w:t>
      </w:r>
      <w:r w:rsidRPr="00AC5BBC">
        <w:rPr>
          <w:szCs w:val="22"/>
        </w:rPr>
        <w:t xml:space="preserve"> </w:t>
      </w:r>
      <w:r w:rsidR="0049496B" w:rsidRPr="0049496B">
        <w:rPr>
          <w:szCs w:val="22"/>
        </w:rPr>
        <w:t>Eth</w:t>
      </w:r>
      <w:r w:rsidR="0049496B">
        <w:rPr>
          <w:szCs w:val="22"/>
        </w:rPr>
        <w:t xml:space="preserve">iopian Energy </w:t>
      </w:r>
      <w:r w:rsidR="00924A80">
        <w:rPr>
          <w:szCs w:val="22"/>
        </w:rPr>
        <w:t>Authority (EEA)</w:t>
      </w:r>
      <w:r w:rsidR="0049496B">
        <w:rPr>
          <w:szCs w:val="22"/>
        </w:rPr>
        <w:t>,</w:t>
      </w:r>
      <w:r w:rsidR="0049496B" w:rsidRPr="0049496B">
        <w:rPr>
          <w:szCs w:val="22"/>
        </w:rPr>
        <w:t xml:space="preserve"> Ethiopian Electric Utility</w:t>
      </w:r>
      <w:r w:rsidR="0049496B">
        <w:rPr>
          <w:szCs w:val="22"/>
        </w:rPr>
        <w:t xml:space="preserve"> </w:t>
      </w:r>
      <w:r w:rsidR="0049496B" w:rsidRPr="0049496B">
        <w:rPr>
          <w:szCs w:val="22"/>
        </w:rPr>
        <w:t>(EEU)</w:t>
      </w:r>
      <w:r w:rsidR="0049496B">
        <w:rPr>
          <w:szCs w:val="22"/>
        </w:rPr>
        <w:t>,</w:t>
      </w:r>
      <w:r w:rsidR="0049496B" w:rsidRPr="0049496B">
        <w:rPr>
          <w:szCs w:val="22"/>
        </w:rPr>
        <w:t xml:space="preserve"> </w:t>
      </w:r>
      <w:r w:rsidR="0049496B" w:rsidRPr="00AC5BBC">
        <w:rPr>
          <w:szCs w:val="22"/>
        </w:rPr>
        <w:t xml:space="preserve">Ministry of Trade </w:t>
      </w:r>
      <w:r w:rsidR="0049496B" w:rsidRPr="007C0AD0">
        <w:rPr>
          <w:szCs w:val="22"/>
        </w:rPr>
        <w:t xml:space="preserve">and Industry </w:t>
      </w:r>
      <w:r w:rsidRPr="007C0AD0">
        <w:rPr>
          <w:szCs w:val="22"/>
        </w:rPr>
        <w:t>Ministry</w:t>
      </w:r>
      <w:r w:rsidR="00EC418D" w:rsidRPr="007C0AD0">
        <w:rPr>
          <w:szCs w:val="22"/>
        </w:rPr>
        <w:t xml:space="preserve"> - </w:t>
      </w:r>
      <w:r w:rsidR="0049496B" w:rsidRPr="007C0AD0">
        <w:t>(</w:t>
      </w:r>
      <w:r w:rsidR="0049496B" w:rsidRPr="007C0AD0">
        <w:rPr>
          <w:szCs w:val="22"/>
        </w:rPr>
        <w:t>Energy Efficiency and</w:t>
      </w:r>
      <w:r w:rsidR="003C3DCB">
        <w:rPr>
          <w:szCs w:val="22"/>
        </w:rPr>
        <w:t xml:space="preserve"> </w:t>
      </w:r>
      <w:r w:rsidR="0049496B" w:rsidRPr="007C0AD0">
        <w:rPr>
          <w:szCs w:val="22"/>
        </w:rPr>
        <w:t>regulatory, related</w:t>
      </w:r>
      <w:r w:rsidRPr="007C0AD0">
        <w:rPr>
          <w:szCs w:val="22"/>
        </w:rPr>
        <w:t xml:space="preserve"> </w:t>
      </w:r>
      <w:r w:rsidR="0049496B" w:rsidRPr="007C0AD0">
        <w:rPr>
          <w:szCs w:val="22"/>
        </w:rPr>
        <w:t>Department)</w:t>
      </w:r>
      <w:r w:rsidRPr="007C0AD0">
        <w:rPr>
          <w:szCs w:val="22"/>
        </w:rPr>
        <w:t xml:space="preserve"> </w:t>
      </w:r>
      <w:r w:rsidR="00EC418D" w:rsidRPr="007C0AD0">
        <w:rPr>
          <w:szCs w:val="22"/>
        </w:rPr>
        <w:t>and Ethiopian Electric</w:t>
      </w:r>
      <w:r w:rsidR="00D726F0" w:rsidRPr="007C0AD0">
        <w:rPr>
          <w:szCs w:val="22"/>
        </w:rPr>
        <w:t>, as well as with the technical experts of UNEP DTU Partnership</w:t>
      </w:r>
      <w:r w:rsidR="006A73B7">
        <w:rPr>
          <w:szCs w:val="22"/>
        </w:rPr>
        <w:t xml:space="preserve"> (UDP)</w:t>
      </w:r>
      <w:r w:rsidR="00D726F0" w:rsidRPr="007C0AD0">
        <w:rPr>
          <w:szCs w:val="22"/>
        </w:rPr>
        <w:t xml:space="preserve"> and ISPRA</w:t>
      </w:r>
      <w:r w:rsidRPr="007C0AD0">
        <w:rPr>
          <w:szCs w:val="22"/>
        </w:rPr>
        <w:t xml:space="preserve">. </w:t>
      </w:r>
      <w:r w:rsidR="008C3EBA" w:rsidRPr="007C0AD0">
        <w:rPr>
          <w:szCs w:val="22"/>
        </w:rPr>
        <w:t xml:space="preserve">The consultant/consulting firm will deliver all the steps listed in the specific objectives above, and thereby: </w:t>
      </w:r>
    </w:p>
    <w:p w14:paraId="71595B56" w14:textId="77777777" w:rsidR="007C0AD0" w:rsidRPr="007C0AD0" w:rsidRDefault="007C0AD0" w:rsidP="00A37853">
      <w:pPr>
        <w:pStyle w:val="ListParagraph"/>
        <w:widowControl/>
        <w:overflowPunct/>
        <w:adjustRightInd/>
        <w:jc w:val="both"/>
        <w:rPr>
          <w:szCs w:val="22"/>
        </w:rPr>
      </w:pPr>
    </w:p>
    <w:p w14:paraId="0C11DDB1" w14:textId="111CBD78" w:rsidR="00D726F0" w:rsidRPr="007C0AD0" w:rsidRDefault="00D726F0" w:rsidP="003C3DCB">
      <w:pPr>
        <w:widowControl/>
        <w:overflowPunct/>
        <w:adjustRightInd/>
        <w:spacing w:line="360" w:lineRule="auto"/>
        <w:jc w:val="both"/>
        <w:rPr>
          <w:sz w:val="22"/>
          <w:szCs w:val="22"/>
        </w:rPr>
      </w:pPr>
      <w:r w:rsidRPr="003C3DCB">
        <w:rPr>
          <w:sz w:val="22"/>
          <w:szCs w:val="22"/>
        </w:rPr>
        <w:t xml:space="preserve">Identify and adapt </w:t>
      </w:r>
      <w:r w:rsidR="006459B2">
        <w:rPr>
          <w:sz w:val="22"/>
          <w:szCs w:val="22"/>
        </w:rPr>
        <w:t xml:space="preserve">the </w:t>
      </w:r>
      <w:r w:rsidRPr="003C3DCB">
        <w:rPr>
          <w:sz w:val="22"/>
          <w:szCs w:val="22"/>
        </w:rPr>
        <w:t xml:space="preserve">contemporary methodology to assess effects of the selected </w:t>
      </w:r>
      <w:r w:rsidR="00032B6D" w:rsidRPr="003C3DCB">
        <w:rPr>
          <w:sz w:val="22"/>
          <w:szCs w:val="22"/>
        </w:rPr>
        <w:t xml:space="preserve">policies and </w:t>
      </w:r>
      <w:r w:rsidRPr="003C3DCB">
        <w:rPr>
          <w:sz w:val="22"/>
          <w:szCs w:val="22"/>
        </w:rPr>
        <w:t>actions,</w:t>
      </w:r>
      <w:r w:rsidR="00032B6D" w:rsidRPr="003C3DCB">
        <w:rPr>
          <w:sz w:val="22"/>
          <w:szCs w:val="22"/>
        </w:rPr>
        <w:t xml:space="preserve"> incl</w:t>
      </w:r>
      <w:r w:rsidR="00EB6491">
        <w:rPr>
          <w:sz w:val="22"/>
          <w:szCs w:val="22"/>
        </w:rPr>
        <w:t xml:space="preserve">uding </w:t>
      </w:r>
      <w:r w:rsidRPr="003C3DCB">
        <w:rPr>
          <w:sz w:val="22"/>
          <w:szCs w:val="22"/>
        </w:rPr>
        <w:t>collect</w:t>
      </w:r>
      <w:r w:rsidR="00EB6491">
        <w:rPr>
          <w:sz w:val="22"/>
          <w:szCs w:val="22"/>
        </w:rPr>
        <w:t>ing</w:t>
      </w:r>
      <w:r w:rsidRPr="003C3DCB">
        <w:rPr>
          <w:sz w:val="22"/>
          <w:szCs w:val="22"/>
        </w:rPr>
        <w:t xml:space="preserve"> data and conduct</w:t>
      </w:r>
      <w:r w:rsidR="00EB6491">
        <w:rPr>
          <w:sz w:val="22"/>
          <w:szCs w:val="22"/>
        </w:rPr>
        <w:t>ing</w:t>
      </w:r>
      <w:r w:rsidRPr="007C0AD0">
        <w:rPr>
          <w:sz w:val="22"/>
          <w:szCs w:val="22"/>
        </w:rPr>
        <w:t xml:space="preserve"> analysis</w:t>
      </w:r>
      <w:r w:rsidR="00032B6D" w:rsidRPr="007C0AD0">
        <w:rPr>
          <w:sz w:val="22"/>
          <w:szCs w:val="22"/>
        </w:rPr>
        <w:t xml:space="preserve"> of</w:t>
      </w:r>
      <w:r w:rsidRPr="007C0AD0">
        <w:rPr>
          <w:sz w:val="22"/>
          <w:szCs w:val="22"/>
        </w:rPr>
        <w:t>:</w:t>
      </w:r>
    </w:p>
    <w:p w14:paraId="24729510" w14:textId="0A1F39EF" w:rsidR="00EC418D" w:rsidRPr="007C0AD0" w:rsidRDefault="00032B6D" w:rsidP="005C7436">
      <w:pPr>
        <w:pStyle w:val="ListParagraph"/>
        <w:numPr>
          <w:ilvl w:val="0"/>
          <w:numId w:val="1"/>
        </w:numPr>
        <w:jc w:val="both"/>
        <w:rPr>
          <w:szCs w:val="22"/>
        </w:rPr>
      </w:pPr>
      <w:r w:rsidRPr="007C0AD0">
        <w:rPr>
          <w:szCs w:val="22"/>
        </w:rPr>
        <w:t>The policy of</w:t>
      </w:r>
      <w:r w:rsidR="00DA61F5" w:rsidRPr="007C0AD0">
        <w:rPr>
          <w:szCs w:val="22"/>
        </w:rPr>
        <w:t xml:space="preserve"> </w:t>
      </w:r>
      <w:r w:rsidR="00EC418D" w:rsidRPr="007C0AD0">
        <w:rPr>
          <w:szCs w:val="22"/>
        </w:rPr>
        <w:t>d</w:t>
      </w:r>
      <w:r w:rsidR="009B6E15" w:rsidRPr="007C0AD0">
        <w:rPr>
          <w:szCs w:val="22"/>
        </w:rPr>
        <w:t>istribution of improved Cookstoves,</w:t>
      </w:r>
    </w:p>
    <w:p w14:paraId="5ACD3E68" w14:textId="3B0798A2" w:rsidR="00EC418D" w:rsidRDefault="00032B6D" w:rsidP="005C7436">
      <w:pPr>
        <w:pStyle w:val="ListParagraph"/>
        <w:numPr>
          <w:ilvl w:val="0"/>
          <w:numId w:val="1"/>
        </w:numPr>
        <w:jc w:val="both"/>
        <w:rPr>
          <w:szCs w:val="22"/>
        </w:rPr>
      </w:pPr>
      <w:r>
        <w:rPr>
          <w:szCs w:val="22"/>
        </w:rPr>
        <w:t>The policy of introduction of</w:t>
      </w:r>
      <w:r w:rsidR="009B6E15" w:rsidRPr="00EC418D">
        <w:rPr>
          <w:szCs w:val="22"/>
        </w:rPr>
        <w:t xml:space="preserve"> Incandesce</w:t>
      </w:r>
      <w:r w:rsidR="00EC418D">
        <w:rPr>
          <w:szCs w:val="22"/>
        </w:rPr>
        <w:t>nt lamps by CFL and LED lamps,</w:t>
      </w:r>
      <w:r w:rsidR="0019632C">
        <w:rPr>
          <w:szCs w:val="22"/>
        </w:rPr>
        <w:t xml:space="preserve"> </w:t>
      </w:r>
      <w:r w:rsidR="009B6E15" w:rsidRPr="00EC418D">
        <w:rPr>
          <w:szCs w:val="22"/>
        </w:rPr>
        <w:t xml:space="preserve">banning of Incandescent lamps promoting </w:t>
      </w:r>
      <w:r w:rsidR="006459B2">
        <w:rPr>
          <w:szCs w:val="22"/>
        </w:rPr>
        <w:t xml:space="preserve">the </w:t>
      </w:r>
      <w:r w:rsidR="009B6E15" w:rsidRPr="00EC418D">
        <w:rPr>
          <w:szCs w:val="22"/>
        </w:rPr>
        <w:t>use of LED lamps,</w:t>
      </w:r>
    </w:p>
    <w:p w14:paraId="0EE01372" w14:textId="34176599" w:rsidR="0019632C" w:rsidRDefault="00032B6D" w:rsidP="005C7436">
      <w:pPr>
        <w:pStyle w:val="ListParagraph"/>
        <w:numPr>
          <w:ilvl w:val="0"/>
          <w:numId w:val="1"/>
        </w:numPr>
        <w:jc w:val="both"/>
        <w:rPr>
          <w:szCs w:val="22"/>
        </w:rPr>
      </w:pPr>
      <w:r>
        <w:rPr>
          <w:szCs w:val="22"/>
        </w:rPr>
        <w:t xml:space="preserve">The policy of </w:t>
      </w:r>
      <w:r w:rsidR="009B6E15" w:rsidRPr="00EC418D">
        <w:rPr>
          <w:szCs w:val="22"/>
        </w:rPr>
        <w:t>Promotion of Power factor correctors</w:t>
      </w:r>
      <w:r w:rsidR="006459B2">
        <w:rPr>
          <w:szCs w:val="22"/>
        </w:rPr>
        <w:t>,</w:t>
      </w:r>
      <w:r w:rsidR="009B6E15" w:rsidRPr="00EC418D">
        <w:rPr>
          <w:szCs w:val="22"/>
        </w:rPr>
        <w:t xml:space="preserve"> </w:t>
      </w:r>
      <w:r w:rsidR="0019632C" w:rsidRPr="00EC418D">
        <w:rPr>
          <w:szCs w:val="22"/>
        </w:rPr>
        <w:t>especially</w:t>
      </w:r>
      <w:r w:rsidR="009B6E15" w:rsidRPr="00EC418D">
        <w:rPr>
          <w:szCs w:val="22"/>
        </w:rPr>
        <w:t xml:space="preserve"> in </w:t>
      </w:r>
      <w:r w:rsidR="006459B2">
        <w:rPr>
          <w:szCs w:val="22"/>
        </w:rPr>
        <w:t>l</w:t>
      </w:r>
      <w:r w:rsidR="006459B2" w:rsidRPr="00EC418D">
        <w:rPr>
          <w:szCs w:val="22"/>
        </w:rPr>
        <w:t xml:space="preserve">arge </w:t>
      </w:r>
      <w:r w:rsidR="009B6E15" w:rsidRPr="00EC418D">
        <w:rPr>
          <w:szCs w:val="22"/>
        </w:rPr>
        <w:t>industries (high electricity consumers)</w:t>
      </w:r>
    </w:p>
    <w:p w14:paraId="4556B2F6" w14:textId="3B6A2006" w:rsidR="0019632C" w:rsidRDefault="00032B6D" w:rsidP="005C7436">
      <w:pPr>
        <w:pStyle w:val="ListParagraph"/>
        <w:numPr>
          <w:ilvl w:val="0"/>
          <w:numId w:val="1"/>
        </w:numPr>
        <w:jc w:val="both"/>
        <w:rPr>
          <w:szCs w:val="22"/>
        </w:rPr>
      </w:pPr>
      <w:r>
        <w:rPr>
          <w:szCs w:val="22"/>
        </w:rPr>
        <w:t xml:space="preserve">The </w:t>
      </w:r>
      <w:r w:rsidR="00DA61F5">
        <w:rPr>
          <w:szCs w:val="22"/>
        </w:rPr>
        <w:t>d</w:t>
      </w:r>
      <w:r w:rsidR="009B6E15" w:rsidRPr="0019632C">
        <w:rPr>
          <w:szCs w:val="22"/>
        </w:rPr>
        <w:t>irective</w:t>
      </w:r>
      <w:r w:rsidR="0019632C">
        <w:rPr>
          <w:szCs w:val="22"/>
        </w:rPr>
        <w:t>s for labelling for Electric Enje</w:t>
      </w:r>
      <w:r w:rsidR="009B6E15" w:rsidRPr="0019632C">
        <w:rPr>
          <w:szCs w:val="22"/>
        </w:rPr>
        <w:t>ra mitad, cook</w:t>
      </w:r>
      <w:r w:rsidR="0019632C">
        <w:rPr>
          <w:szCs w:val="22"/>
        </w:rPr>
        <w:t xml:space="preserve"> </w:t>
      </w:r>
      <w:r w:rsidR="009B6E15" w:rsidRPr="0019632C">
        <w:rPr>
          <w:szCs w:val="22"/>
        </w:rPr>
        <w:t>stoves</w:t>
      </w:r>
      <w:r w:rsidR="006459B2">
        <w:rPr>
          <w:szCs w:val="22"/>
        </w:rPr>
        <w:t>,</w:t>
      </w:r>
      <w:r w:rsidR="009B6E15" w:rsidRPr="0019632C">
        <w:rPr>
          <w:szCs w:val="22"/>
        </w:rPr>
        <w:t xml:space="preserve"> and other appliances</w:t>
      </w:r>
    </w:p>
    <w:p w14:paraId="2A1C6A33" w14:textId="1946C7CA" w:rsidR="00032B6D" w:rsidRDefault="00032B6D" w:rsidP="00032B6D">
      <w:pPr>
        <w:pStyle w:val="ListParagraph"/>
        <w:numPr>
          <w:ilvl w:val="0"/>
          <w:numId w:val="1"/>
        </w:numPr>
        <w:jc w:val="both"/>
        <w:rPr>
          <w:szCs w:val="22"/>
        </w:rPr>
      </w:pPr>
      <w:r>
        <w:rPr>
          <w:szCs w:val="22"/>
        </w:rPr>
        <w:t xml:space="preserve">The policy of introduction of </w:t>
      </w:r>
      <w:r w:rsidR="006459B2" w:rsidRPr="0019632C">
        <w:rPr>
          <w:szCs w:val="22"/>
        </w:rPr>
        <w:t>mi</w:t>
      </w:r>
      <w:r w:rsidR="006459B2">
        <w:rPr>
          <w:szCs w:val="22"/>
        </w:rPr>
        <w:t>ni-</w:t>
      </w:r>
      <w:r w:rsidR="0019632C">
        <w:rPr>
          <w:szCs w:val="22"/>
        </w:rPr>
        <w:t>grid</w:t>
      </w:r>
      <w:r w:rsidR="006459B2">
        <w:rPr>
          <w:szCs w:val="22"/>
        </w:rPr>
        <w:t>s</w:t>
      </w:r>
      <w:r w:rsidR="0019632C">
        <w:rPr>
          <w:szCs w:val="22"/>
        </w:rPr>
        <w:t xml:space="preserve"> in rural areas for non-</w:t>
      </w:r>
      <w:r w:rsidR="009B6E15" w:rsidRPr="0019632C">
        <w:rPr>
          <w:szCs w:val="22"/>
        </w:rPr>
        <w:t xml:space="preserve">electrified communities. </w:t>
      </w:r>
    </w:p>
    <w:p w14:paraId="1F22F069" w14:textId="6275D9F1" w:rsidR="00032B6D" w:rsidRDefault="00032B6D" w:rsidP="00032B6D">
      <w:pPr>
        <w:pStyle w:val="ListParagraph"/>
        <w:numPr>
          <w:ilvl w:val="0"/>
          <w:numId w:val="1"/>
        </w:numPr>
        <w:jc w:val="both"/>
        <w:rPr>
          <w:szCs w:val="22"/>
        </w:rPr>
      </w:pPr>
      <w:r>
        <w:rPr>
          <w:szCs w:val="22"/>
        </w:rPr>
        <w:t xml:space="preserve">The policy of </w:t>
      </w:r>
      <w:r w:rsidRPr="0019632C">
        <w:rPr>
          <w:szCs w:val="22"/>
        </w:rPr>
        <w:t>upgrading of transmission and distributions, reducing loss, standard implementation</w:t>
      </w:r>
    </w:p>
    <w:p w14:paraId="1A6DA35F" w14:textId="4B6B41E9" w:rsidR="00032B6D" w:rsidRDefault="007C0AD0" w:rsidP="00032B6D">
      <w:pPr>
        <w:pStyle w:val="ListParagraph"/>
        <w:numPr>
          <w:ilvl w:val="0"/>
          <w:numId w:val="1"/>
        </w:numPr>
        <w:jc w:val="both"/>
        <w:rPr>
          <w:szCs w:val="22"/>
        </w:rPr>
      </w:pPr>
      <w:r>
        <w:rPr>
          <w:szCs w:val="22"/>
        </w:rPr>
        <w:t xml:space="preserve">The policy of </w:t>
      </w:r>
      <w:r w:rsidR="006459B2">
        <w:rPr>
          <w:szCs w:val="22"/>
        </w:rPr>
        <w:t xml:space="preserve">grid-connected </w:t>
      </w:r>
      <w:r w:rsidR="00032B6D" w:rsidRPr="0019632C">
        <w:rPr>
          <w:szCs w:val="22"/>
        </w:rPr>
        <w:t xml:space="preserve">waste to energy </w:t>
      </w:r>
      <w:r>
        <w:rPr>
          <w:szCs w:val="22"/>
        </w:rPr>
        <w:t xml:space="preserve">in </w:t>
      </w:r>
      <w:r w:rsidR="006459B2">
        <w:rPr>
          <w:szCs w:val="22"/>
        </w:rPr>
        <w:t xml:space="preserve">the </w:t>
      </w:r>
      <w:r w:rsidR="00032B6D" w:rsidRPr="0019632C">
        <w:rPr>
          <w:szCs w:val="22"/>
        </w:rPr>
        <w:t>Addis area and elsewhere</w:t>
      </w:r>
    </w:p>
    <w:p w14:paraId="7B2121F7" w14:textId="45ECE617" w:rsidR="00032B6D" w:rsidRPr="00AF2AA6" w:rsidRDefault="007C0AD0" w:rsidP="00032B6D">
      <w:pPr>
        <w:widowControl/>
        <w:numPr>
          <w:ilvl w:val="0"/>
          <w:numId w:val="1"/>
        </w:numPr>
        <w:overflowPunct/>
        <w:adjustRightInd/>
        <w:spacing w:line="360" w:lineRule="auto"/>
        <w:jc w:val="both"/>
        <w:rPr>
          <w:szCs w:val="22"/>
        </w:rPr>
      </w:pPr>
      <w:r>
        <w:rPr>
          <w:sz w:val="22"/>
          <w:szCs w:val="22"/>
        </w:rPr>
        <w:t xml:space="preserve">The policy on </w:t>
      </w:r>
      <w:r w:rsidR="00032B6D" w:rsidRPr="00E94A52">
        <w:rPr>
          <w:sz w:val="22"/>
          <w:szCs w:val="22"/>
        </w:rPr>
        <w:t>bioethanol</w:t>
      </w:r>
      <w:r w:rsidR="00032B6D">
        <w:rPr>
          <w:sz w:val="22"/>
          <w:szCs w:val="22"/>
        </w:rPr>
        <w:t>.</w:t>
      </w:r>
    </w:p>
    <w:p w14:paraId="2C43DA6C" w14:textId="2B3A0B0C" w:rsidR="002304A2" w:rsidRPr="00A37853" w:rsidRDefault="002304A2" w:rsidP="00032B6D">
      <w:pPr>
        <w:widowControl/>
        <w:numPr>
          <w:ilvl w:val="0"/>
          <w:numId w:val="1"/>
        </w:numPr>
        <w:overflowPunct/>
        <w:adjustRightInd/>
        <w:spacing w:line="360" w:lineRule="auto"/>
        <w:jc w:val="both"/>
        <w:rPr>
          <w:szCs w:val="22"/>
        </w:rPr>
      </w:pPr>
      <w:r>
        <w:rPr>
          <w:sz w:val="22"/>
          <w:szCs w:val="22"/>
        </w:rPr>
        <w:t>Assess the impact of promoting solar water pumping, solar home systems, solar lanterns, solar street lightings, solar water heaters, water purification technologies replacing boiling, solar refrigerators for health posts and clinics etc.</w:t>
      </w:r>
    </w:p>
    <w:p w14:paraId="27FA3BEC" w14:textId="78237F73" w:rsidR="0019632C" w:rsidRDefault="00032B6D" w:rsidP="005C7436">
      <w:pPr>
        <w:pStyle w:val="ListParagraph"/>
        <w:numPr>
          <w:ilvl w:val="0"/>
          <w:numId w:val="1"/>
        </w:numPr>
        <w:jc w:val="both"/>
        <w:rPr>
          <w:szCs w:val="22"/>
        </w:rPr>
      </w:pPr>
      <w:r>
        <w:rPr>
          <w:szCs w:val="22"/>
        </w:rPr>
        <w:t xml:space="preserve">The new </w:t>
      </w:r>
      <w:r w:rsidR="0019632C" w:rsidRPr="0019632C">
        <w:rPr>
          <w:szCs w:val="22"/>
        </w:rPr>
        <w:t>initiatives</w:t>
      </w:r>
      <w:r w:rsidR="009B6E15" w:rsidRPr="0019632C">
        <w:rPr>
          <w:szCs w:val="22"/>
        </w:rPr>
        <w:t xml:space="preserve"> with WB support, </w:t>
      </w:r>
      <w:r w:rsidR="004075D6">
        <w:rPr>
          <w:szCs w:val="22"/>
        </w:rPr>
        <w:t xml:space="preserve">which </w:t>
      </w:r>
      <w:r w:rsidR="009B6E15" w:rsidRPr="0019632C">
        <w:rPr>
          <w:szCs w:val="22"/>
        </w:rPr>
        <w:t xml:space="preserve">will start now. </w:t>
      </w:r>
      <w:r>
        <w:rPr>
          <w:szCs w:val="22"/>
        </w:rPr>
        <w:t>T</w:t>
      </w:r>
      <w:r w:rsidR="004075D6">
        <w:rPr>
          <w:szCs w:val="22"/>
        </w:rPr>
        <w:t>his includes r</w:t>
      </w:r>
      <w:r w:rsidR="009B6E15" w:rsidRPr="0019632C">
        <w:rPr>
          <w:szCs w:val="22"/>
        </w:rPr>
        <w:t>eplacing biomass energy and diesel generators</w:t>
      </w:r>
      <w:r w:rsidR="004075D6">
        <w:rPr>
          <w:szCs w:val="22"/>
        </w:rPr>
        <w:t xml:space="preserve">. The assessment will include </w:t>
      </w:r>
      <w:r w:rsidR="006459B2">
        <w:rPr>
          <w:szCs w:val="22"/>
        </w:rPr>
        <w:t xml:space="preserve">the </w:t>
      </w:r>
      <w:r w:rsidR="004075D6">
        <w:rPr>
          <w:szCs w:val="22"/>
        </w:rPr>
        <w:t>establishment of a baseline, the monitoring system</w:t>
      </w:r>
      <w:r w:rsidR="006459B2">
        <w:rPr>
          <w:szCs w:val="22"/>
        </w:rPr>
        <w:t>,</w:t>
      </w:r>
      <w:r w:rsidR="004075D6">
        <w:rPr>
          <w:szCs w:val="22"/>
        </w:rPr>
        <w:t xml:space="preserve"> etc. </w:t>
      </w:r>
    </w:p>
    <w:p w14:paraId="45D988D4" w14:textId="77777777" w:rsidR="007C0AD0" w:rsidRDefault="007C0AD0" w:rsidP="003C3DCB">
      <w:pPr>
        <w:widowControl/>
        <w:overflowPunct/>
        <w:adjustRightInd/>
        <w:spacing w:line="360" w:lineRule="auto"/>
        <w:jc w:val="both"/>
        <w:rPr>
          <w:szCs w:val="22"/>
        </w:rPr>
      </w:pPr>
    </w:p>
    <w:p w14:paraId="557C7438" w14:textId="04DD49B4" w:rsidR="006A0306" w:rsidRDefault="007C0AD0" w:rsidP="003C3DCB">
      <w:pPr>
        <w:widowControl/>
        <w:overflowPunct/>
        <w:adjustRightInd/>
        <w:spacing w:line="360" w:lineRule="auto"/>
        <w:jc w:val="both"/>
        <w:rPr>
          <w:sz w:val="22"/>
          <w:szCs w:val="22"/>
        </w:rPr>
      </w:pPr>
      <w:r w:rsidRPr="00AF2AA6">
        <w:rPr>
          <w:sz w:val="22"/>
          <w:szCs w:val="22"/>
        </w:rPr>
        <w:lastRenderedPageBreak/>
        <w:t>Throughout the consultancy, b</w:t>
      </w:r>
      <w:r w:rsidR="008B5397" w:rsidRPr="008C530B">
        <w:rPr>
          <w:sz w:val="22"/>
          <w:szCs w:val="22"/>
        </w:rPr>
        <w:t xml:space="preserve">uild </w:t>
      </w:r>
      <w:r w:rsidR="006A0306" w:rsidRPr="008C530B">
        <w:rPr>
          <w:sz w:val="22"/>
          <w:szCs w:val="22"/>
        </w:rPr>
        <w:t xml:space="preserve">capacity </w:t>
      </w:r>
      <w:r w:rsidR="00D726F0" w:rsidRPr="002304A2">
        <w:rPr>
          <w:sz w:val="22"/>
          <w:szCs w:val="22"/>
        </w:rPr>
        <w:t xml:space="preserve">for emission assessment (ex-ante and ex-post) </w:t>
      </w:r>
      <w:r w:rsidR="008B5397" w:rsidRPr="002304A2">
        <w:rPr>
          <w:sz w:val="22"/>
          <w:szCs w:val="22"/>
        </w:rPr>
        <w:t xml:space="preserve">with the </w:t>
      </w:r>
      <w:r w:rsidR="00D726F0" w:rsidRPr="002304A2">
        <w:rPr>
          <w:sz w:val="22"/>
          <w:szCs w:val="22"/>
        </w:rPr>
        <w:t>key experts in the line ministries, institutes, and agencies</w:t>
      </w:r>
      <w:r w:rsidR="00D726F0" w:rsidRPr="00AF2AA6">
        <w:rPr>
          <w:sz w:val="22"/>
          <w:szCs w:val="22"/>
        </w:rPr>
        <w:t xml:space="preserve"> related to </w:t>
      </w:r>
      <w:r w:rsidR="008B5397" w:rsidRPr="00AF2AA6">
        <w:rPr>
          <w:sz w:val="22"/>
          <w:szCs w:val="22"/>
        </w:rPr>
        <w:t xml:space="preserve">MRV within </w:t>
      </w:r>
      <w:r w:rsidR="006459B2" w:rsidRPr="00AF2AA6">
        <w:rPr>
          <w:sz w:val="22"/>
          <w:szCs w:val="22"/>
        </w:rPr>
        <w:t xml:space="preserve">the </w:t>
      </w:r>
      <w:r w:rsidR="008B5397" w:rsidRPr="00AF2AA6">
        <w:rPr>
          <w:sz w:val="22"/>
          <w:szCs w:val="22"/>
        </w:rPr>
        <w:t xml:space="preserve">energy, in order to enable an emissions assessment by the </w:t>
      </w:r>
      <w:r w:rsidR="00D726F0" w:rsidRPr="008C530B">
        <w:rPr>
          <w:sz w:val="22"/>
          <w:szCs w:val="22"/>
        </w:rPr>
        <w:t>institutions</w:t>
      </w:r>
      <w:r w:rsidR="008B5397" w:rsidRPr="008C530B">
        <w:rPr>
          <w:sz w:val="22"/>
          <w:szCs w:val="22"/>
        </w:rPr>
        <w:t xml:space="preserve"> in the future. This will be done through </w:t>
      </w:r>
      <w:r w:rsidR="00D726F0" w:rsidRPr="008C530B">
        <w:rPr>
          <w:sz w:val="22"/>
          <w:szCs w:val="22"/>
        </w:rPr>
        <w:t xml:space="preserve">at least one </w:t>
      </w:r>
      <w:r w:rsidR="008B5397" w:rsidRPr="008C530B">
        <w:rPr>
          <w:sz w:val="22"/>
          <w:szCs w:val="22"/>
        </w:rPr>
        <w:t>training session and through on</w:t>
      </w:r>
      <w:r w:rsidR="006459B2" w:rsidRPr="008C530B">
        <w:rPr>
          <w:sz w:val="22"/>
          <w:szCs w:val="22"/>
        </w:rPr>
        <w:t>-the-</w:t>
      </w:r>
      <w:r w:rsidR="008B5397" w:rsidRPr="008C530B">
        <w:rPr>
          <w:sz w:val="22"/>
          <w:szCs w:val="22"/>
        </w:rPr>
        <w:t>job training and cooperation</w:t>
      </w:r>
      <w:r w:rsidR="00D726F0">
        <w:rPr>
          <w:sz w:val="22"/>
          <w:szCs w:val="22"/>
        </w:rPr>
        <w:t xml:space="preserve">. </w:t>
      </w:r>
    </w:p>
    <w:p w14:paraId="26548B7F" w14:textId="77777777" w:rsidR="007C0AD0" w:rsidRPr="00A37853" w:rsidRDefault="007C0AD0" w:rsidP="00EB6491">
      <w:pPr>
        <w:widowControl/>
        <w:overflowPunct/>
        <w:adjustRightInd/>
        <w:spacing w:line="360" w:lineRule="auto"/>
        <w:jc w:val="both"/>
        <w:rPr>
          <w:szCs w:val="22"/>
        </w:rPr>
      </w:pPr>
    </w:p>
    <w:p w14:paraId="14785344" w14:textId="386139A9" w:rsidR="00D726F0" w:rsidRPr="00E37E04" w:rsidRDefault="00D726F0" w:rsidP="00EB6491">
      <w:pPr>
        <w:widowControl/>
        <w:overflowPunct/>
        <w:adjustRightInd/>
        <w:spacing w:line="360" w:lineRule="auto"/>
        <w:jc w:val="both"/>
        <w:rPr>
          <w:sz w:val="22"/>
          <w:szCs w:val="22"/>
        </w:rPr>
      </w:pPr>
      <w:r w:rsidRPr="00E37E04">
        <w:rPr>
          <w:sz w:val="22"/>
          <w:szCs w:val="22"/>
        </w:rPr>
        <w:t xml:space="preserve">The </w:t>
      </w:r>
      <w:r w:rsidR="00A37853" w:rsidRPr="00E37E04">
        <w:rPr>
          <w:sz w:val="22"/>
          <w:szCs w:val="22"/>
        </w:rPr>
        <w:t xml:space="preserve">Consultant </w:t>
      </w:r>
      <w:r w:rsidRPr="00E37E04">
        <w:rPr>
          <w:sz w:val="22"/>
          <w:szCs w:val="22"/>
        </w:rPr>
        <w:t>will produce an inception report, a draft report for comments</w:t>
      </w:r>
      <w:r w:rsidR="00A37853" w:rsidRPr="00E37E04">
        <w:rPr>
          <w:sz w:val="22"/>
          <w:szCs w:val="22"/>
        </w:rPr>
        <w:t>,</w:t>
      </w:r>
      <w:r w:rsidRPr="00E37E04">
        <w:rPr>
          <w:sz w:val="22"/>
          <w:szCs w:val="22"/>
        </w:rPr>
        <w:t xml:space="preserve"> and a final report and submit them in hard copy and softcopy (word, Excel, </w:t>
      </w:r>
      <w:r w:rsidR="00A37853" w:rsidRPr="00E37E04">
        <w:rPr>
          <w:sz w:val="22"/>
          <w:szCs w:val="22"/>
        </w:rPr>
        <w:t>PowerPoint</w:t>
      </w:r>
      <w:r w:rsidRPr="00E37E04">
        <w:rPr>
          <w:sz w:val="22"/>
          <w:szCs w:val="22"/>
        </w:rPr>
        <w:t xml:space="preserve"> presentation) to MoWIE and UNEP DTU Partnership</w:t>
      </w:r>
      <w:r w:rsidR="006A73B7" w:rsidRPr="00E37E04">
        <w:rPr>
          <w:sz w:val="22"/>
          <w:szCs w:val="22"/>
        </w:rPr>
        <w:t xml:space="preserve"> (UDP)</w:t>
      </w:r>
      <w:r w:rsidR="00A37853" w:rsidRPr="00E37E04">
        <w:rPr>
          <w:sz w:val="22"/>
          <w:szCs w:val="22"/>
        </w:rPr>
        <w:t>.</w:t>
      </w:r>
      <w:r w:rsidRPr="00E37E04">
        <w:rPr>
          <w:sz w:val="22"/>
          <w:szCs w:val="22"/>
        </w:rPr>
        <w:t xml:space="preserve"> </w:t>
      </w:r>
    </w:p>
    <w:p w14:paraId="671F2028" w14:textId="77777777" w:rsidR="00D726F0" w:rsidRPr="00642A74" w:rsidRDefault="00D726F0" w:rsidP="00A37853">
      <w:pPr>
        <w:widowControl/>
        <w:overflowPunct/>
        <w:adjustRightInd/>
        <w:spacing w:line="360" w:lineRule="auto"/>
        <w:ind w:left="786"/>
        <w:jc w:val="both"/>
        <w:rPr>
          <w:szCs w:val="22"/>
        </w:rPr>
      </w:pPr>
    </w:p>
    <w:p w14:paraId="3021912C" w14:textId="40A4798D"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Responsibilities of Parties</w:t>
      </w:r>
    </w:p>
    <w:p w14:paraId="12CB1B61" w14:textId="77777777" w:rsidR="005C7436" w:rsidRPr="00E051D8" w:rsidRDefault="005C7436" w:rsidP="005C7436">
      <w:pPr>
        <w:autoSpaceDE w:val="0"/>
        <w:autoSpaceDN w:val="0"/>
        <w:spacing w:line="360" w:lineRule="auto"/>
        <w:jc w:val="both"/>
        <w:rPr>
          <w:bCs/>
          <w:sz w:val="22"/>
          <w:szCs w:val="22"/>
        </w:rPr>
      </w:pPr>
    </w:p>
    <w:p w14:paraId="14E61C47" w14:textId="090A4E15" w:rsidR="005C7436" w:rsidRPr="001F20DD" w:rsidRDefault="00DA61F5" w:rsidP="005C7436">
      <w:pPr>
        <w:autoSpaceDE w:val="0"/>
        <w:autoSpaceDN w:val="0"/>
        <w:spacing w:line="360" w:lineRule="auto"/>
        <w:jc w:val="both"/>
        <w:rPr>
          <w:bCs/>
          <w:sz w:val="22"/>
          <w:szCs w:val="22"/>
        </w:rPr>
      </w:pPr>
      <w:r>
        <w:rPr>
          <w:bCs/>
          <w:sz w:val="22"/>
          <w:szCs w:val="22"/>
        </w:rPr>
        <w:t xml:space="preserve">The </w:t>
      </w:r>
      <w:r w:rsidR="00F530A4">
        <w:rPr>
          <w:bCs/>
          <w:sz w:val="22"/>
          <w:szCs w:val="22"/>
        </w:rPr>
        <w:t xml:space="preserve">UDP is the contracting institution, while the </w:t>
      </w:r>
      <w:r>
        <w:rPr>
          <w:bCs/>
          <w:sz w:val="22"/>
          <w:szCs w:val="22"/>
        </w:rPr>
        <w:t xml:space="preserve">Ministry of Water, Irrigation and Energy </w:t>
      </w:r>
      <w:r w:rsidRPr="00143C65">
        <w:rPr>
          <w:bCs/>
          <w:sz w:val="22"/>
          <w:szCs w:val="22"/>
        </w:rPr>
        <w:t>(</w:t>
      </w:r>
      <w:r>
        <w:rPr>
          <w:bCs/>
          <w:sz w:val="22"/>
          <w:szCs w:val="22"/>
        </w:rPr>
        <w:t>MoWIE</w:t>
      </w:r>
      <w:r w:rsidR="005C7436" w:rsidRPr="00143C65">
        <w:rPr>
          <w:bCs/>
          <w:sz w:val="22"/>
          <w:szCs w:val="22"/>
        </w:rPr>
        <w:t xml:space="preserve">) </w:t>
      </w:r>
      <w:r w:rsidR="00F530A4">
        <w:rPr>
          <w:bCs/>
          <w:sz w:val="22"/>
          <w:szCs w:val="22"/>
        </w:rPr>
        <w:t xml:space="preserve">will be the daily counterpart, reference point, and </w:t>
      </w:r>
      <w:r w:rsidR="005C7436" w:rsidRPr="00143C65">
        <w:rPr>
          <w:bCs/>
          <w:sz w:val="22"/>
          <w:szCs w:val="22"/>
        </w:rPr>
        <w:t xml:space="preserve">authority </w:t>
      </w:r>
      <w:r w:rsidR="00F530A4">
        <w:rPr>
          <w:bCs/>
          <w:sz w:val="22"/>
          <w:szCs w:val="22"/>
        </w:rPr>
        <w:t xml:space="preserve">for the </w:t>
      </w:r>
      <w:r w:rsidR="00A37853">
        <w:rPr>
          <w:bCs/>
          <w:sz w:val="22"/>
          <w:szCs w:val="22"/>
        </w:rPr>
        <w:t>Consultant</w:t>
      </w:r>
      <w:r w:rsidR="00F530A4">
        <w:rPr>
          <w:bCs/>
          <w:sz w:val="22"/>
          <w:szCs w:val="22"/>
        </w:rPr>
        <w:t>. T</w:t>
      </w:r>
      <w:r w:rsidR="005C7436" w:rsidRPr="00E051D8">
        <w:rPr>
          <w:bCs/>
          <w:sz w:val="22"/>
          <w:szCs w:val="22"/>
        </w:rPr>
        <w:t>he consulting firm</w:t>
      </w:r>
      <w:r w:rsidR="00F530A4">
        <w:rPr>
          <w:bCs/>
          <w:sz w:val="22"/>
          <w:szCs w:val="22"/>
        </w:rPr>
        <w:t>/consultant</w:t>
      </w:r>
      <w:r w:rsidR="005C7436" w:rsidRPr="00E051D8">
        <w:rPr>
          <w:bCs/>
          <w:sz w:val="22"/>
          <w:szCs w:val="22"/>
        </w:rPr>
        <w:t xml:space="preserve"> agree</w:t>
      </w:r>
      <w:r w:rsidR="00F530A4">
        <w:rPr>
          <w:bCs/>
          <w:sz w:val="22"/>
          <w:szCs w:val="22"/>
        </w:rPr>
        <w:t>s</w:t>
      </w:r>
      <w:r w:rsidR="005C7436" w:rsidRPr="00E051D8">
        <w:rPr>
          <w:bCs/>
          <w:sz w:val="22"/>
          <w:szCs w:val="22"/>
        </w:rPr>
        <w:t xml:space="preserve"> to provide </w:t>
      </w:r>
      <w:r w:rsidR="00F530A4">
        <w:rPr>
          <w:bCs/>
          <w:sz w:val="22"/>
          <w:szCs w:val="22"/>
        </w:rPr>
        <w:t xml:space="preserve">the </w:t>
      </w:r>
      <w:r w:rsidR="005C7436" w:rsidRPr="00E051D8">
        <w:rPr>
          <w:bCs/>
          <w:sz w:val="22"/>
          <w:szCs w:val="22"/>
        </w:rPr>
        <w:t xml:space="preserve">consultancy services for this particular assignment.  Accordingly, </w:t>
      </w:r>
      <w:r w:rsidR="006459B2">
        <w:rPr>
          <w:bCs/>
          <w:sz w:val="22"/>
          <w:szCs w:val="22"/>
        </w:rPr>
        <w:t xml:space="preserve">the </w:t>
      </w:r>
      <w:r w:rsidR="005C7436" w:rsidRPr="00E051D8">
        <w:rPr>
          <w:bCs/>
          <w:sz w:val="22"/>
          <w:szCs w:val="22"/>
        </w:rPr>
        <w:t>responsibilities of both parties are detailed as follows.</w:t>
      </w:r>
    </w:p>
    <w:p w14:paraId="5AD78092" w14:textId="77777777" w:rsidR="005C7436" w:rsidRPr="00E051D8" w:rsidRDefault="005C7436" w:rsidP="005C7436">
      <w:pPr>
        <w:autoSpaceDE w:val="0"/>
        <w:autoSpaceDN w:val="0"/>
        <w:spacing w:line="360" w:lineRule="auto"/>
        <w:ind w:left="360"/>
        <w:jc w:val="both"/>
        <w:rPr>
          <w:b/>
          <w:bCs/>
          <w:sz w:val="22"/>
          <w:szCs w:val="22"/>
        </w:rPr>
      </w:pPr>
    </w:p>
    <w:p w14:paraId="186C4466" w14:textId="77777777" w:rsidR="005C7436" w:rsidRPr="00E051D8" w:rsidRDefault="005C7436" w:rsidP="002B53AB">
      <w:pPr>
        <w:autoSpaceDE w:val="0"/>
        <w:autoSpaceDN w:val="0"/>
        <w:spacing w:line="360" w:lineRule="auto"/>
        <w:ind w:left="360" w:hanging="360"/>
        <w:jc w:val="both"/>
        <w:rPr>
          <w:b/>
          <w:bCs/>
          <w:sz w:val="22"/>
          <w:szCs w:val="22"/>
        </w:rPr>
      </w:pPr>
      <w:r w:rsidRPr="002C1335">
        <w:rPr>
          <w:b/>
          <w:bCs/>
          <w:sz w:val="22"/>
          <w:szCs w:val="22"/>
          <w:highlight w:val="green"/>
        </w:rPr>
        <w:t xml:space="preserve">A.  Responsibilities of </w:t>
      </w:r>
      <w:r w:rsidR="002C1335">
        <w:rPr>
          <w:b/>
          <w:bCs/>
          <w:sz w:val="22"/>
          <w:szCs w:val="22"/>
          <w:highlight w:val="green"/>
        </w:rPr>
        <w:t>MoWIE</w:t>
      </w:r>
      <w:r w:rsidR="00DA61F5">
        <w:rPr>
          <w:b/>
          <w:bCs/>
          <w:sz w:val="22"/>
          <w:szCs w:val="22"/>
          <w:highlight w:val="green"/>
        </w:rPr>
        <w:t xml:space="preserve"> </w:t>
      </w:r>
      <w:r w:rsidR="00DA61F5" w:rsidRPr="002C1335">
        <w:rPr>
          <w:b/>
          <w:bCs/>
          <w:sz w:val="22"/>
          <w:szCs w:val="22"/>
          <w:highlight w:val="green"/>
        </w:rPr>
        <w:t>&amp;</w:t>
      </w:r>
      <w:r w:rsidR="00DA61F5">
        <w:rPr>
          <w:b/>
          <w:bCs/>
          <w:sz w:val="22"/>
          <w:szCs w:val="22"/>
          <w:highlight w:val="green"/>
        </w:rPr>
        <w:t xml:space="preserve"> </w:t>
      </w:r>
      <w:r w:rsidR="00DA61F5" w:rsidRPr="002C1335">
        <w:rPr>
          <w:b/>
          <w:bCs/>
          <w:sz w:val="22"/>
          <w:szCs w:val="22"/>
          <w:highlight w:val="green"/>
        </w:rPr>
        <w:t>EFCCC</w:t>
      </w:r>
    </w:p>
    <w:p w14:paraId="0C88AAFD" w14:textId="77777777" w:rsidR="005C7436" w:rsidRPr="00E051D8" w:rsidRDefault="005C7436" w:rsidP="005C7436">
      <w:pPr>
        <w:autoSpaceDE w:val="0"/>
        <w:autoSpaceDN w:val="0"/>
        <w:spacing w:line="360" w:lineRule="auto"/>
        <w:rPr>
          <w:b/>
          <w:bCs/>
          <w:sz w:val="22"/>
          <w:szCs w:val="22"/>
        </w:rPr>
      </w:pPr>
    </w:p>
    <w:p w14:paraId="72146CA5" w14:textId="1C6555CD" w:rsidR="005C7436" w:rsidRPr="00D36A7A" w:rsidRDefault="005C7436" w:rsidP="005C7436">
      <w:pPr>
        <w:spacing w:line="360" w:lineRule="auto"/>
        <w:jc w:val="both"/>
        <w:rPr>
          <w:sz w:val="22"/>
          <w:szCs w:val="22"/>
        </w:rPr>
      </w:pPr>
      <w:r w:rsidRPr="00D36A7A">
        <w:rPr>
          <w:sz w:val="22"/>
          <w:szCs w:val="22"/>
        </w:rPr>
        <w:t xml:space="preserve">The </w:t>
      </w:r>
      <w:r w:rsidR="00F530A4">
        <w:rPr>
          <w:sz w:val="22"/>
          <w:szCs w:val="22"/>
        </w:rPr>
        <w:t xml:space="preserve">daily </w:t>
      </w:r>
      <w:r w:rsidRPr="00D36A7A">
        <w:rPr>
          <w:sz w:val="22"/>
          <w:szCs w:val="22"/>
        </w:rPr>
        <w:t xml:space="preserve">oversight and high-level coordination will be the responsibility of the </w:t>
      </w:r>
      <w:r w:rsidR="002B36D7">
        <w:rPr>
          <w:sz w:val="22"/>
          <w:szCs w:val="22"/>
        </w:rPr>
        <w:t xml:space="preserve">MoWIE </w:t>
      </w:r>
      <w:r w:rsidR="00DA61F5">
        <w:rPr>
          <w:sz w:val="22"/>
          <w:szCs w:val="22"/>
        </w:rPr>
        <w:t xml:space="preserve">&amp; </w:t>
      </w:r>
      <w:r w:rsidR="00DA61F5" w:rsidRPr="00D36A7A">
        <w:rPr>
          <w:sz w:val="22"/>
          <w:szCs w:val="22"/>
        </w:rPr>
        <w:t>EFCCC</w:t>
      </w:r>
      <w:r w:rsidR="00DA61F5">
        <w:rPr>
          <w:sz w:val="22"/>
          <w:szCs w:val="22"/>
        </w:rPr>
        <w:t xml:space="preserve"> (</w:t>
      </w:r>
      <w:r w:rsidR="00DA61F5" w:rsidRPr="00E051D8">
        <w:rPr>
          <w:sz w:val="22"/>
          <w:szCs w:val="22"/>
        </w:rPr>
        <w:t>Greenhouse Gas Measuring Reporting and Verification Directorate</w:t>
      </w:r>
      <w:r w:rsidR="00DA61F5">
        <w:rPr>
          <w:sz w:val="22"/>
          <w:szCs w:val="22"/>
        </w:rPr>
        <w:t>) with</w:t>
      </w:r>
      <w:r w:rsidRPr="00D36A7A">
        <w:rPr>
          <w:sz w:val="22"/>
          <w:szCs w:val="22"/>
        </w:rPr>
        <w:t xml:space="preserve"> a day</w:t>
      </w:r>
      <w:r w:rsidR="006459B2">
        <w:rPr>
          <w:sz w:val="22"/>
          <w:szCs w:val="22"/>
        </w:rPr>
        <w:t>-to-</w:t>
      </w:r>
      <w:r w:rsidRPr="00D36A7A">
        <w:rPr>
          <w:sz w:val="22"/>
          <w:szCs w:val="22"/>
        </w:rPr>
        <w:t>day follow</w:t>
      </w:r>
      <w:r w:rsidR="006459B2">
        <w:rPr>
          <w:sz w:val="22"/>
          <w:szCs w:val="22"/>
        </w:rPr>
        <w:t>-</w:t>
      </w:r>
      <w:r w:rsidRPr="00D36A7A">
        <w:rPr>
          <w:sz w:val="22"/>
          <w:szCs w:val="22"/>
        </w:rPr>
        <w:t xml:space="preserve">up of </w:t>
      </w:r>
      <w:r w:rsidR="00DA61F5">
        <w:rPr>
          <w:sz w:val="22"/>
          <w:szCs w:val="22"/>
        </w:rPr>
        <w:t>the assignment.</w:t>
      </w:r>
      <w:r w:rsidRPr="00D36A7A">
        <w:rPr>
          <w:sz w:val="22"/>
          <w:szCs w:val="22"/>
        </w:rPr>
        <w:t xml:space="preserve"> </w:t>
      </w:r>
      <w:r w:rsidR="00DA61F5">
        <w:rPr>
          <w:sz w:val="22"/>
          <w:szCs w:val="22"/>
        </w:rPr>
        <w:t xml:space="preserve">MoWIE </w:t>
      </w:r>
      <w:r w:rsidRPr="00D36A7A">
        <w:rPr>
          <w:sz w:val="22"/>
          <w:szCs w:val="22"/>
        </w:rPr>
        <w:t>shall facilitate communications, meetings</w:t>
      </w:r>
      <w:r w:rsidR="006459B2">
        <w:rPr>
          <w:sz w:val="22"/>
          <w:szCs w:val="22"/>
        </w:rPr>
        <w:t>,</w:t>
      </w:r>
      <w:r w:rsidRPr="00D36A7A">
        <w:rPr>
          <w:sz w:val="22"/>
          <w:szCs w:val="22"/>
        </w:rPr>
        <w:t xml:space="preserve"> and </w:t>
      </w:r>
      <w:r w:rsidR="006459B2" w:rsidRPr="00D36A7A">
        <w:rPr>
          <w:sz w:val="22"/>
          <w:szCs w:val="22"/>
        </w:rPr>
        <w:t>high</w:t>
      </w:r>
      <w:r w:rsidR="006459B2">
        <w:rPr>
          <w:sz w:val="22"/>
          <w:szCs w:val="22"/>
        </w:rPr>
        <w:t>-</w:t>
      </w:r>
      <w:r w:rsidRPr="00D36A7A">
        <w:rPr>
          <w:sz w:val="22"/>
          <w:szCs w:val="22"/>
        </w:rPr>
        <w:t xml:space="preserve">level briefings across sector ministries relevant </w:t>
      </w:r>
      <w:r>
        <w:rPr>
          <w:sz w:val="22"/>
          <w:szCs w:val="22"/>
        </w:rPr>
        <w:t>for this particular assignment.</w:t>
      </w:r>
      <w:r w:rsidRPr="00D36A7A">
        <w:rPr>
          <w:sz w:val="22"/>
          <w:szCs w:val="22"/>
        </w:rPr>
        <w:t xml:space="preserve"> It will also facilitate the process of data collection, stakeholders meeting to enrich the draft and final products and </w:t>
      </w:r>
      <w:r w:rsidR="00F530A4">
        <w:rPr>
          <w:sz w:val="22"/>
          <w:szCs w:val="22"/>
        </w:rPr>
        <w:t xml:space="preserve">facilitate the </w:t>
      </w:r>
      <w:r w:rsidRPr="00D36A7A">
        <w:rPr>
          <w:sz w:val="22"/>
          <w:szCs w:val="22"/>
        </w:rPr>
        <w:t>final quality assurance</w:t>
      </w:r>
      <w:r w:rsidR="00F530A4">
        <w:rPr>
          <w:sz w:val="22"/>
          <w:szCs w:val="22"/>
        </w:rPr>
        <w:t xml:space="preserve">. MoWIE will inform UDP on the services and progress of the consultant/consulting firm, enable a </w:t>
      </w:r>
      <w:r w:rsidRPr="00D36A7A">
        <w:rPr>
          <w:sz w:val="22"/>
          <w:szCs w:val="22"/>
        </w:rPr>
        <w:t xml:space="preserve">clearance </w:t>
      </w:r>
      <w:r w:rsidR="00F530A4">
        <w:rPr>
          <w:sz w:val="22"/>
          <w:szCs w:val="22"/>
        </w:rPr>
        <w:t xml:space="preserve">ahead of </w:t>
      </w:r>
      <w:r w:rsidRPr="00D36A7A">
        <w:rPr>
          <w:sz w:val="22"/>
          <w:szCs w:val="22"/>
        </w:rPr>
        <w:t xml:space="preserve">payments </w:t>
      </w:r>
      <w:r w:rsidR="00F530A4">
        <w:rPr>
          <w:sz w:val="22"/>
          <w:szCs w:val="22"/>
        </w:rPr>
        <w:t>by UDP</w:t>
      </w:r>
      <w:r w:rsidRPr="00D36A7A">
        <w:rPr>
          <w:sz w:val="22"/>
          <w:szCs w:val="22"/>
        </w:rPr>
        <w:t xml:space="preserve">. </w:t>
      </w:r>
    </w:p>
    <w:p w14:paraId="1498F3C0" w14:textId="77777777" w:rsidR="005C7436" w:rsidRPr="00E051D8" w:rsidRDefault="005C7436" w:rsidP="005C7436">
      <w:pPr>
        <w:widowControl/>
        <w:overflowPunct/>
        <w:autoSpaceDE w:val="0"/>
        <w:autoSpaceDN w:val="0"/>
        <w:spacing w:line="360" w:lineRule="auto"/>
        <w:rPr>
          <w:rFonts w:eastAsia="Calibri"/>
          <w:kern w:val="0"/>
          <w:sz w:val="22"/>
          <w:szCs w:val="22"/>
        </w:rPr>
      </w:pPr>
    </w:p>
    <w:p w14:paraId="4ACBBF54" w14:textId="5C6E8A13" w:rsidR="005C7436" w:rsidRPr="00E051D8" w:rsidRDefault="005C7436" w:rsidP="002B53AB">
      <w:pPr>
        <w:widowControl/>
        <w:overflowPunct/>
        <w:autoSpaceDE w:val="0"/>
        <w:autoSpaceDN w:val="0"/>
        <w:spacing w:line="360" w:lineRule="auto"/>
        <w:jc w:val="both"/>
        <w:rPr>
          <w:b/>
          <w:bCs/>
          <w:sz w:val="22"/>
          <w:szCs w:val="22"/>
        </w:rPr>
      </w:pPr>
      <w:r w:rsidRPr="00E051D8">
        <w:rPr>
          <w:b/>
          <w:bCs/>
          <w:sz w:val="22"/>
          <w:szCs w:val="22"/>
          <w:highlight w:val="green"/>
        </w:rPr>
        <w:t>B. Responsibilities of the Consulting Firm</w:t>
      </w:r>
      <w:r w:rsidR="00F530A4">
        <w:rPr>
          <w:b/>
          <w:bCs/>
          <w:sz w:val="22"/>
          <w:szCs w:val="22"/>
          <w:highlight w:val="green"/>
        </w:rPr>
        <w:t>/</w:t>
      </w:r>
      <w:r w:rsidR="003C3DCB">
        <w:rPr>
          <w:b/>
          <w:bCs/>
          <w:sz w:val="22"/>
          <w:szCs w:val="22"/>
          <w:highlight w:val="green"/>
        </w:rPr>
        <w:t>Expert</w:t>
      </w:r>
      <w:r w:rsidRPr="00E051D8">
        <w:rPr>
          <w:b/>
          <w:bCs/>
          <w:sz w:val="22"/>
          <w:szCs w:val="22"/>
          <w:highlight w:val="green"/>
        </w:rPr>
        <w:t>:</w:t>
      </w:r>
    </w:p>
    <w:p w14:paraId="0577C44C" w14:textId="77777777" w:rsidR="005C7436" w:rsidRDefault="005C7436" w:rsidP="005C7436">
      <w:pPr>
        <w:spacing w:line="360" w:lineRule="auto"/>
        <w:jc w:val="both"/>
        <w:rPr>
          <w:sz w:val="22"/>
          <w:szCs w:val="22"/>
        </w:rPr>
      </w:pPr>
    </w:p>
    <w:p w14:paraId="5EB255B9" w14:textId="635403EB" w:rsidR="00A37853" w:rsidRDefault="005C7436" w:rsidP="00A37853">
      <w:pPr>
        <w:spacing w:line="360" w:lineRule="auto"/>
        <w:jc w:val="both"/>
        <w:rPr>
          <w:sz w:val="22"/>
          <w:szCs w:val="22"/>
        </w:rPr>
      </w:pPr>
      <w:r w:rsidRPr="00E051D8">
        <w:rPr>
          <w:sz w:val="22"/>
          <w:szCs w:val="22"/>
        </w:rPr>
        <w:t xml:space="preserve">The consulting firm will </w:t>
      </w:r>
      <w:r w:rsidR="008B5397">
        <w:rPr>
          <w:sz w:val="22"/>
          <w:szCs w:val="22"/>
        </w:rPr>
        <w:t>deliver on the ToR, incl</w:t>
      </w:r>
      <w:r w:rsidR="006459B2">
        <w:rPr>
          <w:sz w:val="22"/>
          <w:szCs w:val="22"/>
        </w:rPr>
        <w:t>uding</w:t>
      </w:r>
      <w:r w:rsidR="008B5397">
        <w:rPr>
          <w:sz w:val="22"/>
          <w:szCs w:val="22"/>
        </w:rPr>
        <w:t xml:space="preserve"> the objectives and scope of work</w:t>
      </w:r>
      <w:r w:rsidR="006459B2">
        <w:rPr>
          <w:sz w:val="22"/>
          <w:szCs w:val="22"/>
        </w:rPr>
        <w:t>.</w:t>
      </w:r>
      <w:r w:rsidR="008B5397">
        <w:rPr>
          <w:sz w:val="22"/>
          <w:szCs w:val="22"/>
        </w:rPr>
        <w:t xml:space="preserve"> The </w:t>
      </w:r>
      <w:r w:rsidR="00A37853">
        <w:rPr>
          <w:sz w:val="22"/>
          <w:szCs w:val="22"/>
        </w:rPr>
        <w:t>C</w:t>
      </w:r>
      <w:r w:rsidR="008B5397">
        <w:rPr>
          <w:sz w:val="22"/>
          <w:szCs w:val="22"/>
        </w:rPr>
        <w:t xml:space="preserve">onsultant will work in close cooperation with MoWIE and the Commission and </w:t>
      </w:r>
      <w:r w:rsidR="006459B2">
        <w:rPr>
          <w:sz w:val="22"/>
          <w:szCs w:val="22"/>
        </w:rPr>
        <w:t>the</w:t>
      </w:r>
      <w:r w:rsidR="008B5397">
        <w:rPr>
          <w:sz w:val="22"/>
          <w:szCs w:val="22"/>
        </w:rPr>
        <w:t xml:space="preserve"> technical experts of </w:t>
      </w:r>
      <w:r w:rsidR="006A73B7">
        <w:rPr>
          <w:sz w:val="22"/>
          <w:szCs w:val="22"/>
        </w:rPr>
        <w:t>UDP</w:t>
      </w:r>
      <w:r w:rsidR="008B5397">
        <w:rPr>
          <w:sz w:val="22"/>
          <w:szCs w:val="22"/>
        </w:rPr>
        <w:t xml:space="preserve"> and ISPRA. The </w:t>
      </w:r>
      <w:r w:rsidR="00A37853">
        <w:rPr>
          <w:sz w:val="22"/>
          <w:szCs w:val="22"/>
        </w:rPr>
        <w:t>C</w:t>
      </w:r>
      <w:r w:rsidR="008B5397">
        <w:rPr>
          <w:sz w:val="22"/>
          <w:szCs w:val="22"/>
        </w:rPr>
        <w:t>onsultant will consult UNEP</w:t>
      </w:r>
      <w:r w:rsidR="003C3DCB">
        <w:rPr>
          <w:sz w:val="22"/>
          <w:szCs w:val="22"/>
        </w:rPr>
        <w:t xml:space="preserve"> </w:t>
      </w:r>
      <w:r w:rsidR="008B5397">
        <w:rPr>
          <w:sz w:val="22"/>
          <w:szCs w:val="22"/>
        </w:rPr>
        <w:t xml:space="preserve">DTU Partnership on all matters related to the formal contract. The </w:t>
      </w:r>
      <w:r w:rsidR="00A37853">
        <w:rPr>
          <w:sz w:val="22"/>
          <w:szCs w:val="22"/>
        </w:rPr>
        <w:t>C</w:t>
      </w:r>
      <w:r w:rsidR="008B5397">
        <w:rPr>
          <w:sz w:val="22"/>
          <w:szCs w:val="22"/>
        </w:rPr>
        <w:t xml:space="preserve">onsultant will interact and obtain </w:t>
      </w:r>
      <w:r w:rsidR="00A37853">
        <w:rPr>
          <w:sz w:val="22"/>
          <w:szCs w:val="22"/>
        </w:rPr>
        <w:t>feedback</w:t>
      </w:r>
      <w:r w:rsidR="008B5397">
        <w:rPr>
          <w:sz w:val="22"/>
          <w:szCs w:val="22"/>
        </w:rPr>
        <w:t xml:space="preserve"> and direction from the technical experts and participate in </w:t>
      </w:r>
      <w:r w:rsidR="006459B2">
        <w:rPr>
          <w:sz w:val="22"/>
          <w:szCs w:val="22"/>
        </w:rPr>
        <w:t xml:space="preserve">the </w:t>
      </w:r>
      <w:r w:rsidR="008B5397">
        <w:rPr>
          <w:sz w:val="22"/>
          <w:szCs w:val="22"/>
        </w:rPr>
        <w:t>co-creation of some elements e.g.</w:t>
      </w:r>
      <w:r w:rsidR="006459B2">
        <w:rPr>
          <w:sz w:val="22"/>
          <w:szCs w:val="22"/>
        </w:rPr>
        <w:t>,</w:t>
      </w:r>
      <w:r w:rsidR="008B5397">
        <w:rPr>
          <w:sz w:val="22"/>
          <w:szCs w:val="22"/>
        </w:rPr>
        <w:t xml:space="preserve"> the assessment methodology used, the training/</w:t>
      </w:r>
      <w:r w:rsidR="006459B2">
        <w:rPr>
          <w:sz w:val="22"/>
          <w:szCs w:val="22"/>
        </w:rPr>
        <w:t>capacity-</w:t>
      </w:r>
      <w:r w:rsidR="008B5397">
        <w:rPr>
          <w:sz w:val="22"/>
          <w:szCs w:val="22"/>
        </w:rPr>
        <w:t>building material</w:t>
      </w:r>
      <w:r w:rsidR="006459B2">
        <w:rPr>
          <w:sz w:val="22"/>
          <w:szCs w:val="22"/>
        </w:rPr>
        <w:t>,</w:t>
      </w:r>
      <w:r w:rsidR="008B5397">
        <w:rPr>
          <w:sz w:val="22"/>
          <w:szCs w:val="22"/>
        </w:rPr>
        <w:t xml:space="preserve"> etc.   </w:t>
      </w:r>
    </w:p>
    <w:p w14:paraId="7A8F8A4C" w14:textId="77777777" w:rsidR="007C0AD0" w:rsidRDefault="007C0AD0" w:rsidP="00A37853">
      <w:pPr>
        <w:spacing w:line="360" w:lineRule="auto"/>
        <w:jc w:val="both"/>
        <w:rPr>
          <w:sz w:val="22"/>
          <w:szCs w:val="22"/>
        </w:rPr>
      </w:pPr>
    </w:p>
    <w:p w14:paraId="39C85FE6" w14:textId="6EAB49E4"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Methodology / Approach of the Service (Work)</w:t>
      </w:r>
    </w:p>
    <w:p w14:paraId="16A97DF7" w14:textId="77777777" w:rsidR="00A37037" w:rsidRDefault="00A37037" w:rsidP="005C7436">
      <w:pPr>
        <w:pStyle w:val="Default"/>
        <w:spacing w:line="360" w:lineRule="auto"/>
        <w:jc w:val="both"/>
        <w:rPr>
          <w:rFonts w:cs="Times New Roman"/>
          <w:sz w:val="22"/>
          <w:szCs w:val="22"/>
        </w:rPr>
      </w:pPr>
    </w:p>
    <w:p w14:paraId="5713CC00" w14:textId="22E99D5D" w:rsidR="005C7436" w:rsidRDefault="00EC583C" w:rsidP="005C7436">
      <w:pPr>
        <w:pStyle w:val="Default"/>
        <w:spacing w:line="360" w:lineRule="auto"/>
        <w:jc w:val="both"/>
        <w:rPr>
          <w:rFonts w:cs="Times New Roman"/>
          <w:sz w:val="22"/>
          <w:szCs w:val="22"/>
        </w:rPr>
      </w:pPr>
      <w:r>
        <w:rPr>
          <w:rFonts w:cs="Times New Roman"/>
          <w:sz w:val="22"/>
          <w:szCs w:val="22"/>
        </w:rPr>
        <w:t>The detail</w:t>
      </w:r>
      <w:r w:rsidR="006459B2">
        <w:rPr>
          <w:rFonts w:cs="Times New Roman"/>
          <w:sz w:val="22"/>
          <w:szCs w:val="22"/>
        </w:rPr>
        <w:t>ed</w:t>
      </w:r>
      <w:r w:rsidR="005C7436" w:rsidRPr="00E051D8">
        <w:rPr>
          <w:rFonts w:cs="Times New Roman"/>
          <w:color w:val="auto"/>
          <w:sz w:val="22"/>
          <w:szCs w:val="22"/>
        </w:rPr>
        <w:t xml:space="preserve"> assessment</w:t>
      </w:r>
      <w:r w:rsidR="005C7436" w:rsidRPr="00E051D8">
        <w:rPr>
          <w:rFonts w:cs="Times New Roman"/>
          <w:sz w:val="22"/>
          <w:szCs w:val="22"/>
        </w:rPr>
        <w:t xml:space="preserve"> will be compiled by conducting </w:t>
      </w:r>
      <w:r w:rsidR="00D726F0" w:rsidRPr="00E051D8">
        <w:rPr>
          <w:rFonts w:cs="Times New Roman"/>
          <w:sz w:val="22"/>
          <w:szCs w:val="22"/>
        </w:rPr>
        <w:t xml:space="preserve">primary </w:t>
      </w:r>
      <w:r w:rsidR="00D726F0">
        <w:rPr>
          <w:rFonts w:cs="Times New Roman"/>
          <w:sz w:val="22"/>
          <w:szCs w:val="22"/>
        </w:rPr>
        <w:t xml:space="preserve">and secondary </w:t>
      </w:r>
      <w:r w:rsidR="00D726F0" w:rsidRPr="00E051D8">
        <w:rPr>
          <w:rFonts w:cs="Times New Roman"/>
          <w:sz w:val="22"/>
          <w:szCs w:val="22"/>
        </w:rPr>
        <w:t xml:space="preserve">data collection </w:t>
      </w:r>
      <w:r w:rsidR="00D726F0">
        <w:rPr>
          <w:rFonts w:cs="Times New Roman"/>
          <w:sz w:val="22"/>
          <w:szCs w:val="22"/>
        </w:rPr>
        <w:t>(</w:t>
      </w:r>
      <w:r w:rsidR="00D726F0" w:rsidRPr="00E051D8">
        <w:rPr>
          <w:rFonts w:cs="Times New Roman"/>
          <w:sz w:val="22"/>
          <w:szCs w:val="22"/>
        </w:rPr>
        <w:t xml:space="preserve">and </w:t>
      </w:r>
      <w:r w:rsidR="00D726F0">
        <w:rPr>
          <w:rFonts w:cs="Times New Roman"/>
          <w:sz w:val="22"/>
          <w:szCs w:val="22"/>
        </w:rPr>
        <w:t xml:space="preserve">possibly </w:t>
      </w:r>
      <w:r w:rsidR="00D726F0" w:rsidRPr="00E051D8">
        <w:rPr>
          <w:rFonts w:cs="Times New Roman"/>
          <w:sz w:val="22"/>
          <w:szCs w:val="22"/>
        </w:rPr>
        <w:t>field visit</w:t>
      </w:r>
      <w:r w:rsidR="00D726F0">
        <w:rPr>
          <w:rFonts w:cs="Times New Roman"/>
          <w:sz w:val="22"/>
          <w:szCs w:val="22"/>
        </w:rPr>
        <w:t>s</w:t>
      </w:r>
      <w:r w:rsidR="00D726F0" w:rsidRPr="00E051D8">
        <w:rPr>
          <w:rFonts w:cs="Times New Roman"/>
          <w:sz w:val="22"/>
          <w:szCs w:val="22"/>
        </w:rPr>
        <w:t xml:space="preserve"> </w:t>
      </w:r>
      <w:r w:rsidR="00D726F0">
        <w:rPr>
          <w:rFonts w:cs="Times New Roman"/>
          <w:sz w:val="22"/>
          <w:szCs w:val="22"/>
        </w:rPr>
        <w:t>if</w:t>
      </w:r>
      <w:r w:rsidR="00D726F0" w:rsidRPr="00E051D8">
        <w:rPr>
          <w:rFonts w:cs="Times New Roman"/>
          <w:sz w:val="22"/>
          <w:szCs w:val="22"/>
        </w:rPr>
        <w:t xml:space="preserve"> necessary</w:t>
      </w:r>
      <w:r w:rsidR="00D726F0">
        <w:rPr>
          <w:rFonts w:cs="Times New Roman"/>
          <w:sz w:val="22"/>
          <w:szCs w:val="22"/>
        </w:rPr>
        <w:t xml:space="preserve">). Through a </w:t>
      </w:r>
      <w:r w:rsidR="005C7436" w:rsidRPr="00E051D8">
        <w:rPr>
          <w:rFonts w:cs="Times New Roman"/>
          <w:sz w:val="22"/>
          <w:szCs w:val="22"/>
        </w:rPr>
        <w:t xml:space="preserve">desk review </w:t>
      </w:r>
      <w:r w:rsidR="00D726F0">
        <w:rPr>
          <w:rFonts w:cs="Times New Roman"/>
          <w:sz w:val="22"/>
          <w:szCs w:val="22"/>
        </w:rPr>
        <w:t>(and interaction with technical experts in UNEP</w:t>
      </w:r>
      <w:r w:rsidR="003C3DCB">
        <w:rPr>
          <w:rFonts w:cs="Times New Roman"/>
          <w:sz w:val="22"/>
          <w:szCs w:val="22"/>
        </w:rPr>
        <w:t xml:space="preserve"> </w:t>
      </w:r>
      <w:r w:rsidR="00D726F0">
        <w:rPr>
          <w:rFonts w:cs="Times New Roman"/>
          <w:sz w:val="22"/>
          <w:szCs w:val="22"/>
        </w:rPr>
        <w:t xml:space="preserve">DTU Partnership and </w:t>
      </w:r>
      <w:r w:rsidR="00D726F0">
        <w:rPr>
          <w:rFonts w:cs="Times New Roman"/>
          <w:sz w:val="22"/>
          <w:szCs w:val="22"/>
        </w:rPr>
        <w:lastRenderedPageBreak/>
        <w:t xml:space="preserve">ISPRA) </w:t>
      </w:r>
      <w:r w:rsidR="005C7436" w:rsidRPr="00E051D8">
        <w:rPr>
          <w:rFonts w:cs="Times New Roman"/>
          <w:sz w:val="22"/>
          <w:szCs w:val="22"/>
        </w:rPr>
        <w:t xml:space="preserve">of existing available </w:t>
      </w:r>
      <w:r w:rsidR="00D726F0">
        <w:rPr>
          <w:rFonts w:cs="Times New Roman"/>
          <w:sz w:val="22"/>
          <w:szCs w:val="22"/>
        </w:rPr>
        <w:t xml:space="preserve">emission assessment international and national </w:t>
      </w:r>
      <w:r w:rsidR="005C7436" w:rsidRPr="00E051D8">
        <w:rPr>
          <w:rFonts w:cs="Times New Roman"/>
          <w:sz w:val="22"/>
          <w:szCs w:val="22"/>
        </w:rPr>
        <w:t>practice</w:t>
      </w:r>
      <w:r w:rsidR="00D726F0">
        <w:rPr>
          <w:rFonts w:cs="Times New Roman"/>
          <w:sz w:val="22"/>
          <w:szCs w:val="22"/>
        </w:rPr>
        <w:t xml:space="preserve">, a methodology will be defined and applied. The capacity building will </w:t>
      </w:r>
      <w:r w:rsidR="003C3DCB">
        <w:rPr>
          <w:rFonts w:cs="Times New Roman"/>
          <w:sz w:val="22"/>
          <w:szCs w:val="22"/>
        </w:rPr>
        <w:t xml:space="preserve">be in the form of training sessions/on-job training and </w:t>
      </w:r>
      <w:r w:rsidR="00D726F0">
        <w:rPr>
          <w:rFonts w:cs="Times New Roman"/>
          <w:sz w:val="22"/>
          <w:szCs w:val="22"/>
        </w:rPr>
        <w:t>focus on the methodology applied and lessons learned from the application</w:t>
      </w:r>
      <w:r w:rsidR="005C7436" w:rsidRPr="00E051D8">
        <w:rPr>
          <w:rFonts w:cs="Times New Roman"/>
          <w:sz w:val="22"/>
          <w:szCs w:val="22"/>
        </w:rPr>
        <w:t xml:space="preserve">. </w:t>
      </w:r>
    </w:p>
    <w:p w14:paraId="7746D0D3" w14:textId="77777777" w:rsidR="00A37037" w:rsidRPr="00E051D8" w:rsidRDefault="00A37037" w:rsidP="005C7436">
      <w:pPr>
        <w:pStyle w:val="Default"/>
        <w:spacing w:line="360" w:lineRule="auto"/>
        <w:jc w:val="both"/>
        <w:rPr>
          <w:rFonts w:cs="Times New Roman"/>
          <w:sz w:val="22"/>
          <w:szCs w:val="22"/>
        </w:rPr>
      </w:pPr>
    </w:p>
    <w:p w14:paraId="2D8606D9" w14:textId="38E0B223"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 xml:space="preserve">Expected Outputs / Deliverables </w:t>
      </w:r>
    </w:p>
    <w:p w14:paraId="220DB2D0" w14:textId="77777777" w:rsidR="00A37037" w:rsidRDefault="00A37037" w:rsidP="005C7436">
      <w:pPr>
        <w:pStyle w:val="Body"/>
        <w:spacing w:after="0" w:line="360" w:lineRule="auto"/>
        <w:jc w:val="both"/>
        <w:rPr>
          <w:rFonts w:ascii="Times New Roman" w:hAnsi="Times New Roman" w:cs="Times New Roman"/>
          <w:color w:val="auto"/>
        </w:rPr>
      </w:pPr>
    </w:p>
    <w:p w14:paraId="09C18D6D" w14:textId="49A34415" w:rsidR="005C7436" w:rsidRDefault="005C7436" w:rsidP="005C7436">
      <w:pPr>
        <w:pStyle w:val="Body"/>
        <w:spacing w:after="0" w:line="360" w:lineRule="auto"/>
        <w:jc w:val="both"/>
        <w:rPr>
          <w:rFonts w:ascii="Times New Roman" w:hAnsi="Times New Roman" w:cs="Times New Roman"/>
          <w:color w:val="auto"/>
        </w:rPr>
      </w:pPr>
      <w:r w:rsidRPr="001612FD">
        <w:rPr>
          <w:rFonts w:ascii="Times New Roman" w:hAnsi="Times New Roman" w:cs="Times New Roman"/>
          <w:color w:val="auto"/>
        </w:rPr>
        <w:t xml:space="preserve">The major deliverable expected will be </w:t>
      </w:r>
      <w:r w:rsidR="00D726F0">
        <w:rPr>
          <w:rFonts w:ascii="Times New Roman" w:hAnsi="Times New Roman" w:cs="Times New Roman"/>
          <w:color w:val="auto"/>
        </w:rPr>
        <w:t>two</w:t>
      </w:r>
      <w:r w:rsidR="006A73B7">
        <w:rPr>
          <w:rFonts w:ascii="Times New Roman" w:hAnsi="Times New Roman" w:cs="Times New Roman"/>
          <w:color w:val="auto"/>
        </w:rPr>
        <w:t>-</w:t>
      </w:r>
      <w:r w:rsidR="00D726F0">
        <w:rPr>
          <w:rFonts w:ascii="Times New Roman" w:hAnsi="Times New Roman" w:cs="Times New Roman"/>
          <w:color w:val="auto"/>
        </w:rPr>
        <w:t>fold</w:t>
      </w:r>
      <w:r w:rsidR="006A73B7">
        <w:rPr>
          <w:rFonts w:ascii="Times New Roman" w:hAnsi="Times New Roman" w:cs="Times New Roman"/>
          <w:color w:val="auto"/>
        </w:rPr>
        <w:t>s</w:t>
      </w:r>
      <w:r w:rsidR="00D726F0">
        <w:rPr>
          <w:rFonts w:ascii="Times New Roman" w:hAnsi="Times New Roman" w:cs="Times New Roman"/>
          <w:color w:val="auto"/>
        </w:rPr>
        <w:t xml:space="preserve">: The </w:t>
      </w:r>
      <w:r w:rsidR="001612FD" w:rsidRPr="001612FD">
        <w:rPr>
          <w:rFonts w:ascii="Times New Roman" w:hAnsi="Times New Roman" w:cs="Times New Roman"/>
          <w:color w:val="auto"/>
        </w:rPr>
        <w:t>assess</w:t>
      </w:r>
      <w:r w:rsidR="00D726F0">
        <w:rPr>
          <w:rFonts w:ascii="Times New Roman" w:hAnsi="Times New Roman" w:cs="Times New Roman"/>
          <w:color w:val="auto"/>
        </w:rPr>
        <w:t xml:space="preserve">ment of </w:t>
      </w:r>
      <w:r w:rsidR="001612FD" w:rsidRPr="001612FD">
        <w:rPr>
          <w:rFonts w:ascii="Times New Roman" w:hAnsi="Times New Roman" w:cs="Times New Roman"/>
          <w:color w:val="auto"/>
        </w:rPr>
        <w:t>the Green</w:t>
      </w:r>
      <w:r w:rsidR="00B42428">
        <w:rPr>
          <w:rFonts w:ascii="Times New Roman" w:hAnsi="Times New Roman" w:cs="Times New Roman"/>
          <w:color w:val="auto"/>
        </w:rPr>
        <w:t>house</w:t>
      </w:r>
      <w:r w:rsidR="001612FD" w:rsidRPr="001612FD">
        <w:rPr>
          <w:rFonts w:ascii="Times New Roman" w:hAnsi="Times New Roman" w:cs="Times New Roman"/>
          <w:color w:val="auto"/>
        </w:rPr>
        <w:t xml:space="preserve"> Gas (GHG) emissions reduced as a result of promotion of renewable energy and energy efficiency technologies</w:t>
      </w:r>
      <w:r w:rsidR="002C71FF">
        <w:rPr>
          <w:rFonts w:ascii="Times New Roman" w:hAnsi="Times New Roman" w:cs="Times New Roman"/>
          <w:color w:val="auto"/>
        </w:rPr>
        <w:t>, and the capacity building and training of MRV relevant institutions</w:t>
      </w:r>
      <w:r w:rsidRPr="001612FD">
        <w:rPr>
          <w:rFonts w:ascii="Times New Roman" w:hAnsi="Times New Roman" w:cs="Times New Roman"/>
          <w:color w:val="auto"/>
        </w:rPr>
        <w:t xml:space="preserve">. In general, the following outputs will be expected to be prepared and submitted to </w:t>
      </w:r>
      <w:r w:rsidR="001612FD" w:rsidRPr="001612FD">
        <w:rPr>
          <w:rFonts w:ascii="Times New Roman" w:hAnsi="Times New Roman" w:cs="Times New Roman"/>
          <w:color w:val="auto"/>
        </w:rPr>
        <w:t>MoWIE</w:t>
      </w:r>
      <w:r w:rsidRPr="001612FD">
        <w:rPr>
          <w:rFonts w:ascii="Times New Roman" w:hAnsi="Times New Roman" w:cs="Times New Roman"/>
          <w:color w:val="auto"/>
        </w:rPr>
        <w:t xml:space="preserve"> </w:t>
      </w:r>
      <w:r w:rsidR="007C0AD0">
        <w:rPr>
          <w:rFonts w:ascii="Times New Roman" w:hAnsi="Times New Roman" w:cs="Times New Roman"/>
          <w:color w:val="auto"/>
        </w:rPr>
        <w:t xml:space="preserve">and UDP </w:t>
      </w:r>
      <w:r w:rsidRPr="001612FD">
        <w:rPr>
          <w:rFonts w:ascii="Times New Roman" w:hAnsi="Times New Roman" w:cs="Times New Roman"/>
          <w:color w:val="auto"/>
        </w:rPr>
        <w:t>by the consulting firm</w:t>
      </w:r>
    </w:p>
    <w:p w14:paraId="615B32DC" w14:textId="679498B8" w:rsidR="005C7436" w:rsidRPr="00E051D8" w:rsidRDefault="005C7436" w:rsidP="005C7436">
      <w:pPr>
        <w:pStyle w:val="Default"/>
        <w:spacing w:line="360" w:lineRule="auto"/>
        <w:jc w:val="both"/>
        <w:rPr>
          <w:rFonts w:cs="Times New Roman"/>
          <w:color w:val="auto"/>
          <w:sz w:val="22"/>
          <w:szCs w:val="22"/>
        </w:rPr>
      </w:pPr>
      <w:r w:rsidRPr="00A37037">
        <w:rPr>
          <w:rFonts w:cs="Times New Roman"/>
          <w:b/>
          <w:color w:val="auto"/>
          <w:sz w:val="22"/>
          <w:szCs w:val="22"/>
        </w:rPr>
        <w:t>Output 1:</w:t>
      </w:r>
      <w:r w:rsidR="007C0AD0">
        <w:rPr>
          <w:rFonts w:cs="Times New Roman"/>
          <w:color w:val="auto"/>
          <w:sz w:val="22"/>
          <w:szCs w:val="22"/>
        </w:rPr>
        <w:t xml:space="preserve"> </w:t>
      </w:r>
      <w:r w:rsidRPr="00E051D8">
        <w:rPr>
          <w:rFonts w:cs="Times New Roman"/>
          <w:color w:val="auto"/>
          <w:sz w:val="22"/>
          <w:szCs w:val="22"/>
        </w:rPr>
        <w:t>Inception Report</w:t>
      </w:r>
      <w:r w:rsidR="00900B80">
        <w:rPr>
          <w:rFonts w:cs="Times New Roman"/>
          <w:color w:val="auto"/>
          <w:sz w:val="22"/>
          <w:szCs w:val="22"/>
        </w:rPr>
        <w:t xml:space="preserve">, describing methodology/approach to the task and detailed work plan, including </w:t>
      </w:r>
      <w:r w:rsidR="006459B2">
        <w:rPr>
          <w:rFonts w:cs="Times New Roman"/>
          <w:color w:val="auto"/>
          <w:sz w:val="22"/>
          <w:szCs w:val="22"/>
        </w:rPr>
        <w:t xml:space="preserve">a </w:t>
      </w:r>
      <w:r w:rsidR="00900B80">
        <w:rPr>
          <w:rFonts w:cs="Times New Roman"/>
          <w:color w:val="auto"/>
          <w:sz w:val="22"/>
          <w:szCs w:val="22"/>
        </w:rPr>
        <w:t xml:space="preserve">time schedule. </w:t>
      </w:r>
    </w:p>
    <w:p w14:paraId="02BB1ED5" w14:textId="63590821" w:rsidR="007C0AD0" w:rsidRDefault="005C7436" w:rsidP="005C7436">
      <w:pPr>
        <w:pStyle w:val="Default"/>
        <w:spacing w:line="360" w:lineRule="auto"/>
        <w:jc w:val="both"/>
        <w:rPr>
          <w:rFonts w:cs="Times New Roman"/>
          <w:color w:val="auto"/>
          <w:sz w:val="22"/>
          <w:szCs w:val="22"/>
        </w:rPr>
      </w:pPr>
      <w:r w:rsidRPr="00A37037">
        <w:rPr>
          <w:rFonts w:cs="Times New Roman"/>
          <w:b/>
          <w:color w:val="auto"/>
          <w:sz w:val="22"/>
          <w:szCs w:val="22"/>
        </w:rPr>
        <w:t>Output 2:</w:t>
      </w:r>
      <w:r w:rsidRPr="00E051D8">
        <w:rPr>
          <w:rFonts w:cs="Times New Roman"/>
          <w:color w:val="auto"/>
          <w:sz w:val="22"/>
          <w:szCs w:val="22"/>
        </w:rPr>
        <w:t xml:space="preserve"> </w:t>
      </w:r>
      <w:r w:rsidR="00AC3E8F">
        <w:rPr>
          <w:rFonts w:cs="Times New Roman"/>
          <w:color w:val="auto"/>
          <w:sz w:val="22"/>
          <w:szCs w:val="22"/>
        </w:rPr>
        <w:t>first draft</w:t>
      </w:r>
      <w:r w:rsidR="002C71FF">
        <w:rPr>
          <w:rFonts w:cs="Times New Roman"/>
          <w:color w:val="auto"/>
          <w:sz w:val="22"/>
          <w:szCs w:val="22"/>
        </w:rPr>
        <w:t xml:space="preserve"> assessment report for comments</w:t>
      </w:r>
      <w:r w:rsidR="00AC3E8F">
        <w:rPr>
          <w:rFonts w:cs="Times New Roman"/>
          <w:color w:val="auto"/>
          <w:sz w:val="22"/>
          <w:szCs w:val="22"/>
        </w:rPr>
        <w:t xml:space="preserve">, </w:t>
      </w:r>
      <w:r w:rsidR="00900B80">
        <w:rPr>
          <w:rFonts w:cs="Times New Roman"/>
          <w:color w:val="auto"/>
          <w:sz w:val="22"/>
          <w:szCs w:val="22"/>
        </w:rPr>
        <w:t xml:space="preserve">including data and data source, methodology, and results, as well as recommendations on how to conduct similar tasks in the future. </w:t>
      </w:r>
      <w:r w:rsidR="00FD5831">
        <w:rPr>
          <w:rFonts w:cs="Times New Roman"/>
          <w:color w:val="auto"/>
          <w:sz w:val="22"/>
          <w:szCs w:val="22"/>
        </w:rPr>
        <w:t xml:space="preserve">Each policy assessment should </w:t>
      </w:r>
      <w:r w:rsidR="001406B2">
        <w:rPr>
          <w:rFonts w:cs="Times New Roman"/>
          <w:color w:val="auto"/>
          <w:sz w:val="22"/>
          <w:szCs w:val="22"/>
        </w:rPr>
        <w:t xml:space="preserve">include </w:t>
      </w:r>
      <w:r w:rsidR="00FD5831">
        <w:rPr>
          <w:rFonts w:cs="Times New Roman"/>
          <w:color w:val="auto"/>
          <w:sz w:val="22"/>
          <w:szCs w:val="22"/>
        </w:rPr>
        <w:t xml:space="preserve">a detailed description </w:t>
      </w:r>
      <w:r w:rsidR="006459B2">
        <w:rPr>
          <w:rFonts w:cs="Times New Roman"/>
          <w:color w:val="auto"/>
          <w:sz w:val="22"/>
          <w:szCs w:val="22"/>
        </w:rPr>
        <w:t>of</w:t>
      </w:r>
      <w:r w:rsidR="00FD5831">
        <w:rPr>
          <w:rFonts w:cs="Times New Roman"/>
          <w:color w:val="auto"/>
          <w:sz w:val="22"/>
          <w:szCs w:val="22"/>
        </w:rPr>
        <w:t xml:space="preserve"> </w:t>
      </w:r>
      <w:r w:rsidR="001406B2">
        <w:rPr>
          <w:rFonts w:cs="Times New Roman"/>
          <w:color w:val="auto"/>
          <w:sz w:val="22"/>
          <w:szCs w:val="22"/>
        </w:rPr>
        <w:t xml:space="preserve">the contents of </w:t>
      </w:r>
      <w:r w:rsidR="00FD5831">
        <w:rPr>
          <w:rFonts w:cs="Times New Roman"/>
          <w:color w:val="auto"/>
          <w:sz w:val="22"/>
          <w:szCs w:val="22"/>
        </w:rPr>
        <w:t>the policy</w:t>
      </w:r>
      <w:r w:rsidR="001406B2">
        <w:rPr>
          <w:rFonts w:cs="Times New Roman"/>
          <w:color w:val="auto"/>
          <w:sz w:val="22"/>
          <w:szCs w:val="22"/>
        </w:rPr>
        <w:t xml:space="preserve"> intervention and specify when </w:t>
      </w:r>
      <w:r w:rsidR="00FD5831">
        <w:rPr>
          <w:rFonts w:cs="Times New Roman"/>
          <w:color w:val="auto"/>
          <w:sz w:val="22"/>
          <w:szCs w:val="22"/>
        </w:rPr>
        <w:t>and where the</w:t>
      </w:r>
      <w:r w:rsidR="001406B2">
        <w:rPr>
          <w:rFonts w:cs="Times New Roman"/>
          <w:color w:val="auto"/>
          <w:sz w:val="22"/>
          <w:szCs w:val="22"/>
        </w:rPr>
        <w:t xml:space="preserve"> policy</w:t>
      </w:r>
      <w:r w:rsidR="00FD5831">
        <w:rPr>
          <w:rFonts w:cs="Times New Roman"/>
          <w:color w:val="auto"/>
          <w:sz w:val="22"/>
          <w:szCs w:val="22"/>
        </w:rPr>
        <w:t xml:space="preserve"> </w:t>
      </w:r>
      <w:r w:rsidR="001406B2">
        <w:rPr>
          <w:rFonts w:cs="Times New Roman"/>
          <w:color w:val="auto"/>
          <w:sz w:val="22"/>
          <w:szCs w:val="22"/>
        </w:rPr>
        <w:t>interventions have been made and the geographic and temporal scope of energy</w:t>
      </w:r>
      <w:r w:rsidR="006459B2">
        <w:rPr>
          <w:rFonts w:cs="Times New Roman"/>
          <w:color w:val="auto"/>
          <w:sz w:val="22"/>
          <w:szCs w:val="22"/>
        </w:rPr>
        <w:t>-</w:t>
      </w:r>
      <w:r w:rsidR="001406B2">
        <w:rPr>
          <w:rFonts w:cs="Times New Roman"/>
          <w:color w:val="auto"/>
          <w:sz w:val="22"/>
          <w:szCs w:val="22"/>
        </w:rPr>
        <w:t xml:space="preserve">saving or GHG mitigation impact assessment. </w:t>
      </w:r>
      <w:r w:rsidR="002304A2" w:rsidRPr="00AF2AA6">
        <w:rPr>
          <w:rFonts w:cs="Times New Roman"/>
          <w:color w:val="auto"/>
          <w:sz w:val="22"/>
          <w:szCs w:val="22"/>
        </w:rPr>
        <w:t>The main content needs to include the baseline scenario/ the current status and mitigation actions implemented, the methodologies used and GHG reductions achieved, challenges</w:t>
      </w:r>
      <w:r w:rsidR="00E94F41">
        <w:rPr>
          <w:rFonts w:cs="Times New Roman"/>
          <w:color w:val="auto"/>
          <w:sz w:val="22"/>
          <w:szCs w:val="22"/>
        </w:rPr>
        <w:t>,</w:t>
      </w:r>
      <w:r w:rsidR="002304A2" w:rsidRPr="00AF2AA6">
        <w:rPr>
          <w:rFonts w:cs="Times New Roman"/>
          <w:color w:val="auto"/>
          <w:sz w:val="22"/>
          <w:szCs w:val="22"/>
        </w:rPr>
        <w:t xml:space="preserve"> and the way forward as a recommendation.</w:t>
      </w:r>
    </w:p>
    <w:p w14:paraId="5F9A7CFC" w14:textId="4AB3CAAC" w:rsidR="005C7436" w:rsidRPr="00E051D8" w:rsidRDefault="007C0AD0" w:rsidP="005C7436">
      <w:pPr>
        <w:pStyle w:val="Default"/>
        <w:spacing w:line="360" w:lineRule="auto"/>
        <w:jc w:val="both"/>
        <w:rPr>
          <w:rFonts w:cs="Times New Roman"/>
          <w:color w:val="auto"/>
          <w:sz w:val="22"/>
          <w:szCs w:val="22"/>
        </w:rPr>
      </w:pPr>
      <w:r w:rsidRPr="00A37037">
        <w:rPr>
          <w:rFonts w:cs="Times New Roman"/>
          <w:b/>
          <w:color w:val="auto"/>
          <w:sz w:val="22"/>
          <w:szCs w:val="22"/>
        </w:rPr>
        <w:t>Output 3:</w:t>
      </w:r>
      <w:r>
        <w:rPr>
          <w:rFonts w:cs="Times New Roman"/>
          <w:color w:val="auto"/>
          <w:sz w:val="22"/>
          <w:szCs w:val="22"/>
        </w:rPr>
        <w:t xml:space="preserve"> </w:t>
      </w:r>
      <w:r w:rsidR="005C7436" w:rsidRPr="00E051D8">
        <w:rPr>
          <w:rFonts w:cs="Times New Roman"/>
          <w:color w:val="auto"/>
          <w:sz w:val="22"/>
          <w:szCs w:val="22"/>
        </w:rPr>
        <w:t>final assessment report</w:t>
      </w:r>
      <w:r w:rsidR="00985395">
        <w:rPr>
          <w:rFonts w:cs="Times New Roman"/>
          <w:color w:val="auto"/>
          <w:sz w:val="22"/>
          <w:szCs w:val="22"/>
        </w:rPr>
        <w:t xml:space="preserve">, </w:t>
      </w:r>
      <w:r w:rsidR="001406B2">
        <w:rPr>
          <w:rFonts w:cs="Times New Roman"/>
          <w:color w:val="auto"/>
          <w:sz w:val="22"/>
          <w:szCs w:val="22"/>
        </w:rPr>
        <w:t xml:space="preserve">the content requirements are the same as those for the draft assessment report. </w:t>
      </w:r>
    </w:p>
    <w:p w14:paraId="44B9C4D0" w14:textId="1CB801D3" w:rsidR="005C7436" w:rsidRPr="00E051D8" w:rsidRDefault="001612FD" w:rsidP="005C7436">
      <w:pPr>
        <w:pStyle w:val="Default"/>
        <w:spacing w:line="360" w:lineRule="auto"/>
        <w:jc w:val="both"/>
        <w:rPr>
          <w:rFonts w:cs="Times New Roman"/>
          <w:color w:val="auto"/>
          <w:sz w:val="22"/>
          <w:szCs w:val="22"/>
        </w:rPr>
      </w:pPr>
      <w:r w:rsidRPr="00A37037">
        <w:rPr>
          <w:rFonts w:cs="Times New Roman"/>
          <w:b/>
          <w:color w:val="auto"/>
          <w:sz w:val="22"/>
          <w:szCs w:val="22"/>
        </w:rPr>
        <w:t xml:space="preserve">Output </w:t>
      </w:r>
      <w:r w:rsidR="007C0AD0" w:rsidRPr="00A37037">
        <w:rPr>
          <w:rFonts w:cs="Times New Roman"/>
          <w:b/>
          <w:color w:val="auto"/>
          <w:sz w:val="22"/>
          <w:szCs w:val="22"/>
        </w:rPr>
        <w:t>4</w:t>
      </w:r>
      <w:r w:rsidR="005C7436" w:rsidRPr="00A37037">
        <w:rPr>
          <w:rFonts w:cs="Times New Roman"/>
          <w:b/>
          <w:color w:val="auto"/>
          <w:sz w:val="22"/>
          <w:szCs w:val="22"/>
        </w:rPr>
        <w:t>:</w:t>
      </w:r>
      <w:r w:rsidR="005C7436" w:rsidRPr="00E051D8">
        <w:rPr>
          <w:rFonts w:cs="Times New Roman"/>
          <w:color w:val="auto"/>
          <w:sz w:val="22"/>
          <w:szCs w:val="22"/>
        </w:rPr>
        <w:t xml:space="preserve"> </w:t>
      </w:r>
      <w:r w:rsidR="006C7161">
        <w:rPr>
          <w:rFonts w:cs="Times New Roman"/>
          <w:color w:val="auto"/>
          <w:sz w:val="22"/>
          <w:szCs w:val="22"/>
        </w:rPr>
        <w:t xml:space="preserve">Materials </w:t>
      </w:r>
      <w:r w:rsidR="002C71FF">
        <w:rPr>
          <w:rFonts w:cs="Times New Roman"/>
          <w:color w:val="auto"/>
          <w:sz w:val="22"/>
          <w:szCs w:val="22"/>
        </w:rPr>
        <w:t xml:space="preserve">for </w:t>
      </w:r>
      <w:r w:rsidR="006459B2" w:rsidRPr="00E051D8">
        <w:rPr>
          <w:rFonts w:cs="Times New Roman"/>
          <w:color w:val="auto"/>
          <w:sz w:val="22"/>
          <w:szCs w:val="22"/>
        </w:rPr>
        <w:t>capacity</w:t>
      </w:r>
      <w:r w:rsidR="006459B2">
        <w:rPr>
          <w:rFonts w:cs="Times New Roman"/>
          <w:color w:val="auto"/>
          <w:sz w:val="22"/>
          <w:szCs w:val="22"/>
        </w:rPr>
        <w:t>-</w:t>
      </w:r>
      <w:r w:rsidR="005C7436" w:rsidRPr="00E051D8">
        <w:rPr>
          <w:rFonts w:cs="Times New Roman"/>
          <w:color w:val="auto"/>
          <w:sz w:val="22"/>
          <w:szCs w:val="22"/>
        </w:rPr>
        <w:t>building training</w:t>
      </w:r>
      <w:r w:rsidR="00900B80">
        <w:rPr>
          <w:rFonts w:cs="Times New Roman"/>
          <w:color w:val="auto"/>
          <w:sz w:val="22"/>
          <w:szCs w:val="22"/>
        </w:rPr>
        <w:t xml:space="preserve"> and a report on the </w:t>
      </w:r>
      <w:r w:rsidR="006459B2">
        <w:rPr>
          <w:rFonts w:cs="Times New Roman"/>
          <w:color w:val="auto"/>
          <w:sz w:val="22"/>
          <w:szCs w:val="22"/>
        </w:rPr>
        <w:t>capacity-</w:t>
      </w:r>
      <w:r w:rsidR="00900B80">
        <w:rPr>
          <w:rFonts w:cs="Times New Roman"/>
          <w:color w:val="auto"/>
          <w:sz w:val="22"/>
          <w:szCs w:val="22"/>
        </w:rPr>
        <w:t>building activities and their effects.</w:t>
      </w:r>
    </w:p>
    <w:p w14:paraId="25C0344F" w14:textId="3CC4A3DF" w:rsidR="005C7436" w:rsidRPr="00E051D8" w:rsidRDefault="005C7436" w:rsidP="005C7436">
      <w:pPr>
        <w:pStyle w:val="Default"/>
        <w:spacing w:line="360" w:lineRule="auto"/>
        <w:jc w:val="both"/>
        <w:rPr>
          <w:rFonts w:cs="Times New Roman"/>
          <w:sz w:val="22"/>
          <w:szCs w:val="22"/>
        </w:rPr>
      </w:pPr>
      <w:r w:rsidRPr="00E051D8">
        <w:rPr>
          <w:rFonts w:cs="Times New Roman"/>
          <w:sz w:val="22"/>
          <w:szCs w:val="22"/>
        </w:rPr>
        <w:t>All deliverables should be handed in hard copy and soft copy (Word format, excel format</w:t>
      </w:r>
      <w:r w:rsidR="006459B2">
        <w:rPr>
          <w:rFonts w:cs="Times New Roman"/>
          <w:sz w:val="22"/>
          <w:szCs w:val="22"/>
        </w:rPr>
        <w:t>,</w:t>
      </w:r>
      <w:r w:rsidRPr="00E051D8">
        <w:rPr>
          <w:rFonts w:cs="Times New Roman"/>
          <w:sz w:val="22"/>
          <w:szCs w:val="22"/>
        </w:rPr>
        <w:t xml:space="preserve"> and PDF format). </w:t>
      </w:r>
    </w:p>
    <w:p w14:paraId="59A37EE2" w14:textId="77777777" w:rsidR="005C7436" w:rsidRPr="00E051D8" w:rsidRDefault="005C7436" w:rsidP="005C7436">
      <w:pPr>
        <w:pStyle w:val="Default"/>
        <w:spacing w:line="360" w:lineRule="auto"/>
        <w:jc w:val="both"/>
        <w:rPr>
          <w:rFonts w:cs="Times New Roman"/>
          <w:color w:val="auto"/>
          <w:sz w:val="22"/>
          <w:szCs w:val="22"/>
        </w:rPr>
      </w:pPr>
    </w:p>
    <w:p w14:paraId="0F0267B3" w14:textId="4338BDBB" w:rsidR="005C7436" w:rsidRPr="00AF0499" w:rsidRDefault="00065133"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 xml:space="preserve">Required </w:t>
      </w:r>
      <w:r w:rsidR="005C7436" w:rsidRPr="00AF0499">
        <w:rPr>
          <w:b/>
          <w:kern w:val="0"/>
          <w:sz w:val="22"/>
          <w:szCs w:val="22"/>
        </w:rPr>
        <w:t>Experience and Qualifications</w:t>
      </w:r>
    </w:p>
    <w:p w14:paraId="6A50F7B8" w14:textId="77777777" w:rsidR="005C7436" w:rsidRPr="00E051D8" w:rsidRDefault="005C7436" w:rsidP="005C7436">
      <w:pPr>
        <w:widowControl/>
        <w:shd w:val="clear" w:color="auto" w:fill="FFFFFF"/>
        <w:tabs>
          <w:tab w:val="left" w:pos="284"/>
        </w:tabs>
        <w:overflowPunct/>
        <w:adjustRightInd/>
        <w:spacing w:line="360" w:lineRule="auto"/>
        <w:rPr>
          <w:b/>
          <w:sz w:val="22"/>
          <w:szCs w:val="22"/>
        </w:rPr>
      </w:pPr>
    </w:p>
    <w:p w14:paraId="3F3C48CD" w14:textId="5159FD2A" w:rsidR="00721A82" w:rsidRPr="00721A82" w:rsidRDefault="00721A82" w:rsidP="00D57E31">
      <w:pPr>
        <w:pStyle w:val="ListParagraph"/>
        <w:numPr>
          <w:ilvl w:val="0"/>
          <w:numId w:val="6"/>
        </w:numPr>
        <w:autoSpaceDE w:val="0"/>
        <w:autoSpaceDN w:val="0"/>
        <w:ind w:right="80"/>
        <w:jc w:val="both"/>
        <w:rPr>
          <w:szCs w:val="22"/>
        </w:rPr>
      </w:pPr>
      <w:r w:rsidRPr="00E051D8">
        <w:t xml:space="preserve">Masters or above in </w:t>
      </w:r>
      <w:r w:rsidR="00545230">
        <w:t>e</w:t>
      </w:r>
      <w:r w:rsidR="00545230" w:rsidRPr="00E051D8">
        <w:t xml:space="preserve">nvironmental </w:t>
      </w:r>
      <w:r w:rsidR="00545230">
        <w:t>s</w:t>
      </w:r>
      <w:r w:rsidR="00545230" w:rsidRPr="00E051D8">
        <w:t>cience</w:t>
      </w:r>
      <w:r w:rsidRPr="00E051D8">
        <w:t>,</w:t>
      </w:r>
      <w:r>
        <w:t xml:space="preserve"> energy, </w:t>
      </w:r>
      <w:r w:rsidR="00545230">
        <w:t>electrical</w:t>
      </w:r>
      <w:r w:rsidR="00545230" w:rsidRPr="00E051D8">
        <w:t xml:space="preserve"> </w:t>
      </w:r>
      <w:r w:rsidRPr="00E051D8">
        <w:t xml:space="preserve">engineering, </w:t>
      </w:r>
      <w:r>
        <w:t>mechanical</w:t>
      </w:r>
      <w:r w:rsidRPr="00E051D8">
        <w:t xml:space="preserve"> engineering, environmental engineering natural resource management, climate change and other related fields. At least </w:t>
      </w:r>
      <w:r>
        <w:t>10</w:t>
      </w:r>
      <w:r w:rsidRPr="00E051D8">
        <w:t xml:space="preserve"> years</w:t>
      </w:r>
      <w:r w:rsidR="002304A2">
        <w:t xml:space="preserve"> of</w:t>
      </w:r>
      <w:r>
        <w:t xml:space="preserve"> </w:t>
      </w:r>
      <w:r w:rsidRPr="00E051D8">
        <w:t>experience</w:t>
      </w:r>
      <w:r w:rsidR="002304A2">
        <w:t xml:space="preserve"> working in the above topics</w:t>
      </w:r>
      <w:r w:rsidR="00545230">
        <w:t xml:space="preserve"> on climate change</w:t>
      </w:r>
      <w:r>
        <w:t>.</w:t>
      </w:r>
    </w:p>
    <w:p w14:paraId="06C1BD16" w14:textId="58D89CB6" w:rsidR="007C0AD0" w:rsidRDefault="00D57E31" w:rsidP="00D57E31">
      <w:pPr>
        <w:pStyle w:val="ListParagraph"/>
        <w:numPr>
          <w:ilvl w:val="0"/>
          <w:numId w:val="6"/>
        </w:numPr>
        <w:autoSpaceDE w:val="0"/>
        <w:autoSpaceDN w:val="0"/>
        <w:ind w:right="80"/>
        <w:jc w:val="both"/>
        <w:rPr>
          <w:szCs w:val="22"/>
        </w:rPr>
      </w:pPr>
      <w:r w:rsidRPr="00D57E31">
        <w:rPr>
          <w:szCs w:val="22"/>
        </w:rPr>
        <w:t>Existing experience</w:t>
      </w:r>
      <w:r w:rsidR="00985395">
        <w:rPr>
          <w:szCs w:val="22"/>
        </w:rPr>
        <w:t>s</w:t>
      </w:r>
      <w:r w:rsidRPr="00D57E31">
        <w:rPr>
          <w:szCs w:val="22"/>
        </w:rPr>
        <w:t xml:space="preserve"> </w:t>
      </w:r>
      <w:r w:rsidR="00985395">
        <w:rPr>
          <w:szCs w:val="22"/>
        </w:rPr>
        <w:t xml:space="preserve">in </w:t>
      </w:r>
      <w:r w:rsidRPr="00D57E31">
        <w:rPr>
          <w:szCs w:val="22"/>
        </w:rPr>
        <w:t xml:space="preserve">energy </w:t>
      </w:r>
      <w:r w:rsidR="007C0AD0">
        <w:rPr>
          <w:szCs w:val="22"/>
        </w:rPr>
        <w:t xml:space="preserve">sector </w:t>
      </w:r>
      <w:r w:rsidRPr="00D57E31">
        <w:rPr>
          <w:szCs w:val="22"/>
        </w:rPr>
        <w:t>consult</w:t>
      </w:r>
      <w:r w:rsidR="00EB6491">
        <w:rPr>
          <w:szCs w:val="22"/>
        </w:rPr>
        <w:t>ancy</w:t>
      </w:r>
      <w:r w:rsidRPr="00D57E31">
        <w:rPr>
          <w:szCs w:val="22"/>
        </w:rPr>
        <w:t xml:space="preserve">. </w:t>
      </w:r>
    </w:p>
    <w:p w14:paraId="2C5A33A4" w14:textId="5A2AB2A6" w:rsidR="00721A82" w:rsidRPr="00721A82" w:rsidRDefault="005C7436">
      <w:pPr>
        <w:pStyle w:val="ListParagraph"/>
        <w:numPr>
          <w:ilvl w:val="0"/>
          <w:numId w:val="6"/>
        </w:numPr>
        <w:autoSpaceDE w:val="0"/>
        <w:autoSpaceDN w:val="0"/>
        <w:ind w:right="80"/>
        <w:jc w:val="both"/>
        <w:rPr>
          <w:szCs w:val="22"/>
        </w:rPr>
      </w:pPr>
      <w:r w:rsidRPr="00721A82">
        <w:rPr>
          <w:szCs w:val="22"/>
        </w:rPr>
        <w:t xml:space="preserve">Specific national or international experience and expertise in </w:t>
      </w:r>
      <w:r w:rsidR="00EB6491" w:rsidRPr="00721A82">
        <w:rPr>
          <w:szCs w:val="22"/>
        </w:rPr>
        <w:t xml:space="preserve">quantifying </w:t>
      </w:r>
      <w:r w:rsidRPr="00721A82">
        <w:rPr>
          <w:szCs w:val="22"/>
        </w:rPr>
        <w:t xml:space="preserve">GHG mitigation </w:t>
      </w:r>
      <w:r w:rsidR="00EB6491" w:rsidRPr="00721A82">
        <w:rPr>
          <w:szCs w:val="22"/>
        </w:rPr>
        <w:t xml:space="preserve">effects of </w:t>
      </w:r>
      <w:r w:rsidRPr="00721A82">
        <w:rPr>
          <w:szCs w:val="22"/>
        </w:rPr>
        <w:t>polic</w:t>
      </w:r>
      <w:r w:rsidR="00EB6491" w:rsidRPr="00721A82">
        <w:rPr>
          <w:szCs w:val="22"/>
        </w:rPr>
        <w:t xml:space="preserve">ies and </w:t>
      </w:r>
      <w:r w:rsidRPr="00721A82">
        <w:rPr>
          <w:szCs w:val="22"/>
        </w:rPr>
        <w:t>measure</w:t>
      </w:r>
      <w:r w:rsidR="00EB6491" w:rsidRPr="00721A82">
        <w:rPr>
          <w:szCs w:val="22"/>
        </w:rPr>
        <w:t>s</w:t>
      </w:r>
      <w:r w:rsidRPr="00721A82">
        <w:rPr>
          <w:szCs w:val="22"/>
        </w:rPr>
        <w:t xml:space="preserve"> </w:t>
      </w:r>
      <w:r w:rsidR="00A936C9" w:rsidRPr="00721A82">
        <w:rPr>
          <w:szCs w:val="22"/>
        </w:rPr>
        <w:t xml:space="preserve">in energy sector </w:t>
      </w:r>
      <w:r w:rsidRPr="00721A82">
        <w:rPr>
          <w:szCs w:val="22"/>
        </w:rPr>
        <w:t xml:space="preserve">intervention, GHG </w:t>
      </w:r>
      <w:r w:rsidR="00EB6491" w:rsidRPr="00721A82">
        <w:rPr>
          <w:szCs w:val="22"/>
        </w:rPr>
        <w:t xml:space="preserve">inventories </w:t>
      </w:r>
      <w:r w:rsidRPr="00721A82">
        <w:rPr>
          <w:szCs w:val="22"/>
        </w:rPr>
        <w:t xml:space="preserve">for identified thematic area.  </w:t>
      </w:r>
    </w:p>
    <w:p w14:paraId="1B7BF6AB" w14:textId="1E49A693" w:rsidR="005C7436" w:rsidRDefault="00721A82" w:rsidP="005C7436">
      <w:pPr>
        <w:pStyle w:val="ListParagraph"/>
        <w:numPr>
          <w:ilvl w:val="0"/>
          <w:numId w:val="6"/>
        </w:numPr>
        <w:autoSpaceDE w:val="0"/>
        <w:autoSpaceDN w:val="0"/>
        <w:ind w:right="80"/>
        <w:jc w:val="both"/>
        <w:rPr>
          <w:szCs w:val="22"/>
        </w:rPr>
      </w:pPr>
      <w:r w:rsidRPr="00E051D8">
        <w:t xml:space="preserve">Strong knowledge of government </w:t>
      </w:r>
      <w:r>
        <w:t>institutional framework, roles</w:t>
      </w:r>
      <w:r w:rsidR="00A576ED">
        <w:t>,</w:t>
      </w:r>
      <w:r>
        <w:t xml:space="preserve"> and coordination; and the </w:t>
      </w:r>
      <w:r w:rsidRPr="00E051D8">
        <w:t>policies and strategies</w:t>
      </w:r>
      <w:r>
        <w:t>, e.g.</w:t>
      </w:r>
      <w:r w:rsidR="00A576ED">
        <w:t>,</w:t>
      </w:r>
      <w:r>
        <w:t xml:space="preserve"> CRGE, NDC, National Communications</w:t>
      </w:r>
      <w:r w:rsidR="00A576ED">
        <w:t>,</w:t>
      </w:r>
      <w:r>
        <w:t xml:space="preserve"> etc. and </w:t>
      </w:r>
      <w:r w:rsidRPr="00E051D8">
        <w:t>MRV development and reporting</w:t>
      </w:r>
    </w:p>
    <w:p w14:paraId="4CAFDC9B" w14:textId="49913A13" w:rsidR="005C7436" w:rsidRPr="00E051D8" w:rsidRDefault="005C7436" w:rsidP="005C7436">
      <w:pPr>
        <w:pStyle w:val="ListParagraph"/>
        <w:numPr>
          <w:ilvl w:val="0"/>
          <w:numId w:val="6"/>
        </w:numPr>
        <w:autoSpaceDE w:val="0"/>
        <w:autoSpaceDN w:val="0"/>
        <w:jc w:val="both"/>
        <w:rPr>
          <w:szCs w:val="22"/>
        </w:rPr>
      </w:pPr>
      <w:r w:rsidRPr="00E051D8">
        <w:rPr>
          <w:szCs w:val="22"/>
        </w:rPr>
        <w:t>Experience in conducting training on GHG mitigation action</w:t>
      </w:r>
      <w:r w:rsidR="00EB6491">
        <w:rPr>
          <w:szCs w:val="22"/>
        </w:rPr>
        <w:t>s</w:t>
      </w:r>
      <w:r>
        <w:rPr>
          <w:szCs w:val="22"/>
        </w:rPr>
        <w:t xml:space="preserve"> </w:t>
      </w:r>
      <w:r w:rsidR="00A936C9">
        <w:rPr>
          <w:szCs w:val="22"/>
        </w:rPr>
        <w:t xml:space="preserve">in </w:t>
      </w:r>
      <w:r w:rsidR="00A576ED">
        <w:rPr>
          <w:szCs w:val="22"/>
        </w:rPr>
        <w:t xml:space="preserve">the </w:t>
      </w:r>
      <w:r w:rsidR="00A936C9">
        <w:rPr>
          <w:szCs w:val="22"/>
        </w:rPr>
        <w:t xml:space="preserve">energy sector </w:t>
      </w:r>
      <w:r>
        <w:rPr>
          <w:szCs w:val="22"/>
        </w:rPr>
        <w:t>and other related environmental issues</w:t>
      </w:r>
      <w:r w:rsidR="00721A82">
        <w:rPr>
          <w:szCs w:val="22"/>
        </w:rPr>
        <w:t xml:space="preserve"> and</w:t>
      </w:r>
      <w:r w:rsidR="00721A82" w:rsidRPr="00E051D8">
        <w:rPr>
          <w:szCs w:val="22"/>
        </w:rPr>
        <w:t xml:space="preserve"> </w:t>
      </w:r>
      <w:r w:rsidR="00721A82">
        <w:t>experience in facilitation of workshops and meetings;</w:t>
      </w:r>
    </w:p>
    <w:p w14:paraId="11AEFFDA" w14:textId="77777777" w:rsidR="005C7436" w:rsidRPr="00E051D8" w:rsidRDefault="005C7436" w:rsidP="005C7436">
      <w:pPr>
        <w:pStyle w:val="ListParagraph"/>
        <w:numPr>
          <w:ilvl w:val="0"/>
          <w:numId w:val="6"/>
        </w:numPr>
        <w:autoSpaceDE w:val="0"/>
        <w:autoSpaceDN w:val="0"/>
        <w:jc w:val="both"/>
        <w:rPr>
          <w:szCs w:val="22"/>
        </w:rPr>
      </w:pPr>
      <w:r w:rsidRPr="00E051D8">
        <w:rPr>
          <w:szCs w:val="22"/>
        </w:rPr>
        <w:t xml:space="preserve">Strong knowledge of government policies and strategies on low emission, including </w:t>
      </w:r>
      <w:r w:rsidR="00266E5E">
        <w:rPr>
          <w:szCs w:val="22"/>
        </w:rPr>
        <w:t xml:space="preserve">the </w:t>
      </w:r>
      <w:r w:rsidRPr="00E051D8">
        <w:rPr>
          <w:szCs w:val="22"/>
        </w:rPr>
        <w:t>CRGE</w:t>
      </w:r>
      <w:r w:rsidR="00266E5E">
        <w:rPr>
          <w:szCs w:val="22"/>
        </w:rPr>
        <w:t xml:space="preserve">. </w:t>
      </w:r>
    </w:p>
    <w:p w14:paraId="019A03FF" w14:textId="77777777" w:rsidR="005C7436" w:rsidRPr="00E051D8" w:rsidRDefault="005C7436" w:rsidP="005C7436">
      <w:pPr>
        <w:pStyle w:val="ListParagraph"/>
        <w:numPr>
          <w:ilvl w:val="0"/>
          <w:numId w:val="6"/>
        </w:numPr>
        <w:autoSpaceDE w:val="0"/>
        <w:autoSpaceDN w:val="0"/>
        <w:jc w:val="both"/>
        <w:rPr>
          <w:szCs w:val="22"/>
        </w:rPr>
      </w:pPr>
      <w:r w:rsidRPr="00E051D8">
        <w:rPr>
          <w:szCs w:val="22"/>
        </w:rPr>
        <w:t xml:space="preserve">Familiar with government institutions and coordination mechanism; </w:t>
      </w:r>
    </w:p>
    <w:p w14:paraId="0C981127" w14:textId="77777777" w:rsidR="005C7436" w:rsidRPr="00E051D8" w:rsidRDefault="005C7436" w:rsidP="005C7436">
      <w:pPr>
        <w:pStyle w:val="ListParagraph"/>
        <w:numPr>
          <w:ilvl w:val="0"/>
          <w:numId w:val="6"/>
        </w:numPr>
        <w:autoSpaceDE w:val="0"/>
        <w:autoSpaceDN w:val="0"/>
        <w:jc w:val="both"/>
        <w:rPr>
          <w:szCs w:val="22"/>
        </w:rPr>
      </w:pPr>
      <w:r w:rsidRPr="00E051D8">
        <w:rPr>
          <w:szCs w:val="22"/>
        </w:rPr>
        <w:lastRenderedPageBreak/>
        <w:t xml:space="preserve">Proven experience in providing consultancy services and certificate of successful fulfillment of previous related </w:t>
      </w:r>
      <w:r>
        <w:rPr>
          <w:szCs w:val="22"/>
        </w:rPr>
        <w:t>and other environmental</w:t>
      </w:r>
      <w:r w:rsidRPr="00773DF8">
        <w:rPr>
          <w:szCs w:val="22"/>
        </w:rPr>
        <w:t xml:space="preserve"> </w:t>
      </w:r>
      <w:r w:rsidR="007C0AD0">
        <w:rPr>
          <w:szCs w:val="22"/>
        </w:rPr>
        <w:t xml:space="preserve">consultancy </w:t>
      </w:r>
      <w:r w:rsidRPr="00E051D8">
        <w:rPr>
          <w:szCs w:val="22"/>
        </w:rPr>
        <w:t>assignments</w:t>
      </w:r>
      <w:r>
        <w:rPr>
          <w:szCs w:val="22"/>
        </w:rPr>
        <w:t>;</w:t>
      </w:r>
    </w:p>
    <w:p w14:paraId="40D6AB88" w14:textId="33147095" w:rsidR="00721A82" w:rsidRDefault="005C7436" w:rsidP="005C7436">
      <w:pPr>
        <w:pStyle w:val="ListParagraph"/>
        <w:numPr>
          <w:ilvl w:val="0"/>
          <w:numId w:val="6"/>
        </w:numPr>
        <w:autoSpaceDE w:val="0"/>
        <w:autoSpaceDN w:val="0"/>
        <w:jc w:val="both"/>
        <w:rPr>
          <w:szCs w:val="22"/>
        </w:rPr>
      </w:pPr>
      <w:r w:rsidRPr="00E051D8">
        <w:rPr>
          <w:szCs w:val="22"/>
        </w:rPr>
        <w:t>Demonstrated understanding of the Paris Agreement, associated decisions</w:t>
      </w:r>
      <w:r w:rsidR="00A576ED">
        <w:rPr>
          <w:szCs w:val="22"/>
        </w:rPr>
        <w:t>,</w:t>
      </w:r>
      <w:r w:rsidRPr="00E051D8">
        <w:rPr>
          <w:szCs w:val="22"/>
        </w:rPr>
        <w:t xml:space="preserve"> and other decisions enacted by the UNFCCC</w:t>
      </w:r>
      <w:r w:rsidR="00721A82">
        <w:rPr>
          <w:szCs w:val="22"/>
        </w:rPr>
        <w:t>.</w:t>
      </w:r>
    </w:p>
    <w:p w14:paraId="067F65C0" w14:textId="710A28C6" w:rsidR="00721A82" w:rsidRDefault="00721A82" w:rsidP="00721A82">
      <w:pPr>
        <w:pStyle w:val="BodyText"/>
        <w:numPr>
          <w:ilvl w:val="0"/>
          <w:numId w:val="6"/>
        </w:numPr>
        <w:spacing w:after="0" w:line="360" w:lineRule="auto"/>
        <w:rPr>
          <w:rFonts w:ascii="Times New Roman" w:hAnsi="Times New Roman"/>
          <w:b w:val="0"/>
          <w:color w:val="auto"/>
          <w:sz w:val="22"/>
        </w:rPr>
      </w:pPr>
      <w:r w:rsidRPr="00FC6AFF">
        <w:rPr>
          <w:rFonts w:ascii="Times New Roman" w:hAnsi="Times New Roman"/>
          <w:b w:val="0"/>
          <w:color w:val="auto"/>
          <w:sz w:val="22"/>
        </w:rPr>
        <w:t xml:space="preserve">Good </w:t>
      </w:r>
      <w:r>
        <w:rPr>
          <w:rFonts w:ascii="Times New Roman" w:hAnsi="Times New Roman"/>
          <w:b w:val="0"/>
          <w:color w:val="auto"/>
          <w:sz w:val="22"/>
        </w:rPr>
        <w:t>communication skills</w:t>
      </w:r>
      <w:r w:rsidR="00A576ED">
        <w:rPr>
          <w:rFonts w:ascii="Times New Roman" w:hAnsi="Times New Roman"/>
          <w:b w:val="0"/>
          <w:color w:val="auto"/>
          <w:sz w:val="22"/>
        </w:rPr>
        <w:t xml:space="preserve"> and </w:t>
      </w:r>
      <w:r>
        <w:rPr>
          <w:rFonts w:ascii="Times New Roman" w:hAnsi="Times New Roman"/>
          <w:b w:val="0"/>
          <w:color w:val="auto"/>
          <w:sz w:val="22"/>
        </w:rPr>
        <w:t xml:space="preserve">good English language writing and reporting skills. </w:t>
      </w:r>
    </w:p>
    <w:p w14:paraId="606F30BE" w14:textId="77777777" w:rsidR="00721A82" w:rsidRPr="00FC6AFF" w:rsidRDefault="00721A82" w:rsidP="00900B80">
      <w:pPr>
        <w:pStyle w:val="BodyText"/>
        <w:spacing w:after="0" w:line="360" w:lineRule="auto"/>
        <w:ind w:left="644"/>
        <w:rPr>
          <w:rFonts w:ascii="Times New Roman" w:hAnsi="Times New Roman"/>
          <w:b w:val="0"/>
          <w:color w:val="auto"/>
          <w:sz w:val="22"/>
        </w:rPr>
      </w:pPr>
    </w:p>
    <w:p w14:paraId="3C7D82E7" w14:textId="77777777" w:rsidR="005C7436" w:rsidRPr="00E94F41" w:rsidRDefault="00EB6491" w:rsidP="00900B80">
      <w:pPr>
        <w:autoSpaceDE w:val="0"/>
        <w:autoSpaceDN w:val="0"/>
        <w:spacing w:line="360" w:lineRule="auto"/>
        <w:jc w:val="both"/>
        <w:rPr>
          <w:sz w:val="22"/>
          <w:szCs w:val="22"/>
        </w:rPr>
      </w:pPr>
      <w:r w:rsidRPr="00E94F41">
        <w:rPr>
          <w:sz w:val="22"/>
          <w:szCs w:val="22"/>
        </w:rPr>
        <w:t xml:space="preserve">Knowledge </w:t>
      </w:r>
      <w:r w:rsidR="00721A82" w:rsidRPr="00E94F41">
        <w:rPr>
          <w:sz w:val="22"/>
          <w:szCs w:val="22"/>
        </w:rPr>
        <w:t xml:space="preserve">and experience </w:t>
      </w:r>
      <w:r w:rsidRPr="00E94F41">
        <w:rPr>
          <w:sz w:val="22"/>
          <w:szCs w:val="22"/>
        </w:rPr>
        <w:t>on en</w:t>
      </w:r>
      <w:r w:rsidR="00721A82" w:rsidRPr="00E94F41">
        <w:rPr>
          <w:sz w:val="22"/>
          <w:szCs w:val="22"/>
        </w:rPr>
        <w:t xml:space="preserve">ergy efficiency and renewable technologies related to the policies to be assessed, including lighting, cook stoves, mini-grid, biofuel, and waste to energy, is </w:t>
      </w:r>
      <w:r w:rsidRPr="00E94F41">
        <w:rPr>
          <w:sz w:val="22"/>
          <w:szCs w:val="22"/>
        </w:rPr>
        <w:t>an advantage</w:t>
      </w:r>
      <w:r w:rsidR="00721A82" w:rsidRPr="00E94F41">
        <w:rPr>
          <w:sz w:val="22"/>
          <w:szCs w:val="22"/>
        </w:rPr>
        <w:t>.</w:t>
      </w:r>
      <w:r w:rsidRPr="00E94F41">
        <w:rPr>
          <w:sz w:val="22"/>
          <w:szCs w:val="22"/>
        </w:rPr>
        <w:t xml:space="preserve"> </w:t>
      </w:r>
    </w:p>
    <w:p w14:paraId="30DDE6F5" w14:textId="77777777" w:rsidR="005C7436" w:rsidRPr="00E051D8" w:rsidRDefault="005C7436" w:rsidP="005C7436">
      <w:pPr>
        <w:widowControl/>
        <w:shd w:val="clear" w:color="auto" w:fill="FFFFFF"/>
        <w:tabs>
          <w:tab w:val="left" w:pos="284"/>
        </w:tabs>
        <w:overflowPunct/>
        <w:adjustRightInd/>
        <w:spacing w:line="360" w:lineRule="auto"/>
        <w:rPr>
          <w:b/>
          <w:sz w:val="22"/>
          <w:szCs w:val="22"/>
        </w:rPr>
      </w:pPr>
    </w:p>
    <w:p w14:paraId="4BF20AC3" w14:textId="00DF0A23" w:rsidR="005C7436" w:rsidRPr="00AF0499" w:rsidRDefault="005C7436" w:rsidP="00AF0499">
      <w:pPr>
        <w:widowControl/>
        <w:numPr>
          <w:ilvl w:val="0"/>
          <w:numId w:val="17"/>
        </w:numPr>
        <w:shd w:val="clear" w:color="auto" w:fill="92D050"/>
        <w:overflowPunct/>
        <w:adjustRightInd/>
        <w:spacing w:line="360" w:lineRule="auto"/>
        <w:ind w:left="426" w:hanging="426"/>
        <w:rPr>
          <w:b/>
          <w:kern w:val="0"/>
          <w:sz w:val="22"/>
          <w:szCs w:val="22"/>
        </w:rPr>
      </w:pPr>
      <w:r w:rsidRPr="00AF0499">
        <w:rPr>
          <w:b/>
          <w:kern w:val="0"/>
          <w:sz w:val="22"/>
          <w:szCs w:val="22"/>
        </w:rPr>
        <w:t>L</w:t>
      </w:r>
      <w:r w:rsidR="00AF0499">
        <w:rPr>
          <w:b/>
          <w:kern w:val="0"/>
          <w:sz w:val="22"/>
          <w:szCs w:val="22"/>
        </w:rPr>
        <w:t>ocation, Timeframe</w:t>
      </w:r>
      <w:r w:rsidR="00985395" w:rsidRPr="00AF0499">
        <w:rPr>
          <w:b/>
          <w:kern w:val="0"/>
          <w:sz w:val="22"/>
          <w:szCs w:val="22"/>
        </w:rPr>
        <w:t>, and Overall Budget</w:t>
      </w:r>
      <w:r w:rsidR="00AF0499">
        <w:rPr>
          <w:b/>
          <w:kern w:val="0"/>
          <w:sz w:val="22"/>
          <w:szCs w:val="22"/>
        </w:rPr>
        <w:t xml:space="preserve"> of the Assignment</w:t>
      </w:r>
      <w:r w:rsidRPr="00AF0499">
        <w:rPr>
          <w:b/>
          <w:kern w:val="0"/>
          <w:sz w:val="22"/>
          <w:szCs w:val="22"/>
        </w:rPr>
        <w:t xml:space="preserve"> </w:t>
      </w:r>
    </w:p>
    <w:p w14:paraId="1F93B8CD" w14:textId="77777777" w:rsidR="005C7436" w:rsidRPr="00E051D8" w:rsidRDefault="005C7436" w:rsidP="005C7436">
      <w:pPr>
        <w:autoSpaceDE w:val="0"/>
        <w:autoSpaceDN w:val="0"/>
        <w:spacing w:line="360" w:lineRule="auto"/>
        <w:jc w:val="both"/>
        <w:rPr>
          <w:sz w:val="22"/>
          <w:szCs w:val="22"/>
        </w:rPr>
      </w:pPr>
    </w:p>
    <w:p w14:paraId="09BDD690" w14:textId="63D88133" w:rsidR="005C7436" w:rsidRDefault="00985395" w:rsidP="005C7436">
      <w:pPr>
        <w:autoSpaceDE w:val="0"/>
        <w:autoSpaceDN w:val="0"/>
        <w:spacing w:line="360" w:lineRule="auto"/>
        <w:jc w:val="both"/>
        <w:rPr>
          <w:sz w:val="22"/>
          <w:szCs w:val="22"/>
        </w:rPr>
      </w:pPr>
      <w:r w:rsidRPr="00A04723">
        <w:rPr>
          <w:b/>
          <w:sz w:val="22"/>
          <w:szCs w:val="22"/>
        </w:rPr>
        <w:t>Location:</w:t>
      </w:r>
      <w:r>
        <w:rPr>
          <w:sz w:val="22"/>
          <w:szCs w:val="22"/>
        </w:rPr>
        <w:t xml:space="preserve"> The work will be carried out mainly in </w:t>
      </w:r>
      <w:r w:rsidRPr="00985395">
        <w:rPr>
          <w:sz w:val="22"/>
          <w:szCs w:val="22"/>
        </w:rPr>
        <w:t>Addis Ababa</w:t>
      </w:r>
      <w:r>
        <w:rPr>
          <w:sz w:val="22"/>
          <w:szCs w:val="22"/>
        </w:rPr>
        <w:t xml:space="preserve">, with some domestic trips for data collection. All the workshops will be held in Addis Ababa. </w:t>
      </w:r>
    </w:p>
    <w:p w14:paraId="03A64F21" w14:textId="4886B9D4" w:rsidR="00985395" w:rsidRDefault="00985395" w:rsidP="005C7436">
      <w:pPr>
        <w:autoSpaceDE w:val="0"/>
        <w:autoSpaceDN w:val="0"/>
        <w:spacing w:line="360" w:lineRule="auto"/>
        <w:jc w:val="both"/>
        <w:rPr>
          <w:sz w:val="22"/>
          <w:szCs w:val="22"/>
        </w:rPr>
      </w:pPr>
      <w:r w:rsidRPr="00A04723">
        <w:rPr>
          <w:b/>
          <w:sz w:val="22"/>
          <w:szCs w:val="22"/>
        </w:rPr>
        <w:t>Timeframe:</w:t>
      </w:r>
      <w:r>
        <w:rPr>
          <w:sz w:val="22"/>
          <w:szCs w:val="22"/>
        </w:rPr>
        <w:t xml:space="preserve"> the duration of the assignment is from July to November 2021. </w:t>
      </w:r>
    </w:p>
    <w:p w14:paraId="2C48EAFD" w14:textId="045204A9" w:rsidR="00A576ED" w:rsidRPr="002340BA" w:rsidRDefault="00985395" w:rsidP="00A576ED">
      <w:pPr>
        <w:autoSpaceDE w:val="0"/>
        <w:autoSpaceDN w:val="0"/>
        <w:spacing w:line="360" w:lineRule="auto"/>
        <w:ind w:right="60"/>
        <w:jc w:val="both"/>
        <w:rPr>
          <w:sz w:val="22"/>
          <w:szCs w:val="22"/>
        </w:rPr>
      </w:pPr>
      <w:r w:rsidRPr="00A04723">
        <w:rPr>
          <w:b/>
          <w:sz w:val="22"/>
          <w:szCs w:val="22"/>
        </w:rPr>
        <w:t>Overall budget:</w:t>
      </w:r>
      <w:r>
        <w:rPr>
          <w:sz w:val="22"/>
          <w:szCs w:val="22"/>
        </w:rPr>
        <w:t xml:space="preserve"> </w:t>
      </w:r>
      <w:r w:rsidR="00AE0DA3">
        <w:rPr>
          <w:sz w:val="22"/>
          <w:szCs w:val="22"/>
        </w:rPr>
        <w:t xml:space="preserve">a </w:t>
      </w:r>
      <w:r w:rsidR="00CC00A7">
        <w:rPr>
          <w:sz w:val="22"/>
          <w:szCs w:val="22"/>
        </w:rPr>
        <w:t>fixed</w:t>
      </w:r>
      <w:r w:rsidR="00E94F41">
        <w:rPr>
          <w:sz w:val="22"/>
          <w:szCs w:val="22"/>
        </w:rPr>
        <w:t xml:space="preserve"> </w:t>
      </w:r>
      <w:r w:rsidR="00AE0DA3">
        <w:rPr>
          <w:sz w:val="22"/>
          <w:szCs w:val="22"/>
        </w:rPr>
        <w:t>budget of forty</w:t>
      </w:r>
      <w:r>
        <w:rPr>
          <w:sz w:val="22"/>
          <w:szCs w:val="22"/>
        </w:rPr>
        <w:t xml:space="preserve"> thousand US Dollars (40,000 US$)</w:t>
      </w:r>
      <w:r w:rsidR="00AE0DA3">
        <w:rPr>
          <w:sz w:val="22"/>
          <w:szCs w:val="22"/>
        </w:rPr>
        <w:t>, no separate reimbursement of travel costs</w:t>
      </w:r>
      <w:r>
        <w:rPr>
          <w:sz w:val="22"/>
          <w:szCs w:val="22"/>
        </w:rPr>
        <w:t xml:space="preserve">.  </w:t>
      </w:r>
      <w:r w:rsidR="00A576ED">
        <w:rPr>
          <w:bCs/>
          <w:sz w:val="22"/>
          <w:szCs w:val="22"/>
        </w:rPr>
        <w:t xml:space="preserve">Once the applicant is chosen, the budget is non-negotiable. </w:t>
      </w:r>
    </w:p>
    <w:p w14:paraId="7B154B01" w14:textId="77777777" w:rsidR="00A576ED" w:rsidRDefault="00A576ED" w:rsidP="005C7436">
      <w:pPr>
        <w:autoSpaceDE w:val="0"/>
        <w:autoSpaceDN w:val="0"/>
        <w:spacing w:line="360" w:lineRule="auto"/>
        <w:jc w:val="both"/>
        <w:rPr>
          <w:b/>
          <w:sz w:val="22"/>
          <w:szCs w:val="22"/>
        </w:rPr>
      </w:pPr>
    </w:p>
    <w:p w14:paraId="60D86C4C" w14:textId="6F4311F8" w:rsidR="00985395" w:rsidRPr="00E051D8" w:rsidRDefault="00985395" w:rsidP="005C7436">
      <w:pPr>
        <w:autoSpaceDE w:val="0"/>
        <w:autoSpaceDN w:val="0"/>
        <w:spacing w:line="360" w:lineRule="auto"/>
        <w:jc w:val="both"/>
        <w:rPr>
          <w:sz w:val="22"/>
          <w:szCs w:val="22"/>
        </w:rPr>
      </w:pPr>
      <w:r w:rsidRPr="00A04723">
        <w:rPr>
          <w:b/>
          <w:sz w:val="22"/>
          <w:szCs w:val="22"/>
        </w:rPr>
        <w:t>Terms of payment:</w:t>
      </w:r>
      <w:r>
        <w:rPr>
          <w:sz w:val="22"/>
          <w:szCs w:val="22"/>
        </w:rPr>
        <w:t xml:space="preserve"> the payment will be made against acceptance of deliverables by the MoWIE and UDP and in three installments. </w:t>
      </w:r>
    </w:p>
    <w:p w14:paraId="52DD1167" w14:textId="77777777" w:rsidR="005C7436" w:rsidRPr="00E051D8" w:rsidRDefault="005C7436" w:rsidP="005C7436">
      <w:pPr>
        <w:widowControl/>
        <w:shd w:val="clear" w:color="auto" w:fill="FFFFFF"/>
        <w:tabs>
          <w:tab w:val="left" w:pos="284"/>
        </w:tabs>
        <w:overflowPunct/>
        <w:adjustRightInd/>
        <w:spacing w:line="360" w:lineRule="auto"/>
        <w:rPr>
          <w:rFonts w:eastAsia="MS Mincho"/>
          <w:kern w:val="0"/>
          <w:sz w:val="22"/>
          <w:szCs w:val="22"/>
          <w:lang w:val="en-GB"/>
        </w:rPr>
      </w:pPr>
    </w:p>
    <w:p w14:paraId="1AFC5788" w14:textId="4BB9DF65" w:rsidR="005C7436" w:rsidRPr="00E051D8" w:rsidRDefault="00AE0DA3" w:rsidP="005C7436">
      <w:pPr>
        <w:spacing w:line="360" w:lineRule="auto"/>
        <w:jc w:val="both"/>
        <w:rPr>
          <w:sz w:val="22"/>
          <w:szCs w:val="22"/>
        </w:rPr>
      </w:pPr>
      <w:r>
        <w:rPr>
          <w:sz w:val="22"/>
          <w:szCs w:val="22"/>
        </w:rPr>
        <w:t xml:space="preserve">Table </w:t>
      </w:r>
      <w:r w:rsidR="00A81D19">
        <w:rPr>
          <w:sz w:val="22"/>
          <w:szCs w:val="22"/>
        </w:rPr>
        <w:t>1</w:t>
      </w:r>
      <w:r>
        <w:rPr>
          <w:sz w:val="22"/>
          <w:szCs w:val="22"/>
        </w:rPr>
        <w:t>. Terms of Payment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268"/>
        <w:gridCol w:w="2970"/>
        <w:gridCol w:w="2520"/>
        <w:gridCol w:w="1350"/>
      </w:tblGrid>
      <w:tr w:rsidR="005C7436" w:rsidRPr="00E051D8" w14:paraId="4166FB21" w14:textId="77777777" w:rsidTr="002B36D7">
        <w:trPr>
          <w:tblHeader/>
        </w:trPr>
        <w:tc>
          <w:tcPr>
            <w:tcW w:w="630" w:type="dxa"/>
            <w:shd w:val="clear" w:color="auto" w:fill="D9D9D9"/>
          </w:tcPr>
          <w:p w14:paraId="5DB6B7F9" w14:textId="77777777" w:rsidR="005C7436" w:rsidRPr="00E051D8" w:rsidRDefault="005C7436" w:rsidP="002B36D7">
            <w:pPr>
              <w:spacing w:line="360" w:lineRule="auto"/>
              <w:jc w:val="center"/>
              <w:rPr>
                <w:b/>
                <w:sz w:val="22"/>
                <w:szCs w:val="22"/>
              </w:rPr>
            </w:pPr>
            <w:r w:rsidRPr="00E051D8">
              <w:rPr>
                <w:b/>
                <w:sz w:val="22"/>
                <w:szCs w:val="22"/>
              </w:rPr>
              <w:t>No.</w:t>
            </w:r>
          </w:p>
        </w:tc>
        <w:tc>
          <w:tcPr>
            <w:tcW w:w="2268" w:type="dxa"/>
            <w:shd w:val="clear" w:color="auto" w:fill="D9D9D9"/>
          </w:tcPr>
          <w:p w14:paraId="45BCB4CE" w14:textId="77777777" w:rsidR="005C7436" w:rsidRPr="00E051D8" w:rsidRDefault="005C7436" w:rsidP="002B36D7">
            <w:pPr>
              <w:spacing w:line="360" w:lineRule="auto"/>
              <w:rPr>
                <w:b/>
                <w:sz w:val="22"/>
                <w:szCs w:val="22"/>
              </w:rPr>
            </w:pPr>
            <w:r w:rsidRPr="00E051D8">
              <w:rPr>
                <w:b/>
                <w:sz w:val="22"/>
                <w:szCs w:val="22"/>
              </w:rPr>
              <w:t>Installment of Payment/ Period</w:t>
            </w:r>
          </w:p>
        </w:tc>
        <w:tc>
          <w:tcPr>
            <w:tcW w:w="2970" w:type="dxa"/>
            <w:shd w:val="clear" w:color="auto" w:fill="D9D9D9"/>
          </w:tcPr>
          <w:p w14:paraId="73712B82" w14:textId="77777777" w:rsidR="005C7436" w:rsidRPr="00E051D8" w:rsidRDefault="005C7436" w:rsidP="002B36D7">
            <w:pPr>
              <w:spacing w:line="360" w:lineRule="auto"/>
              <w:rPr>
                <w:b/>
                <w:sz w:val="22"/>
                <w:szCs w:val="22"/>
              </w:rPr>
            </w:pPr>
            <w:r w:rsidRPr="00E051D8">
              <w:rPr>
                <w:b/>
                <w:sz w:val="22"/>
                <w:szCs w:val="22"/>
              </w:rPr>
              <w:t xml:space="preserve">Deliverables or Documents to be Delivered </w:t>
            </w:r>
          </w:p>
        </w:tc>
        <w:tc>
          <w:tcPr>
            <w:tcW w:w="2520" w:type="dxa"/>
            <w:shd w:val="clear" w:color="auto" w:fill="D9D9D9"/>
          </w:tcPr>
          <w:p w14:paraId="579F10E9" w14:textId="77777777" w:rsidR="005C7436" w:rsidRPr="00E051D8" w:rsidRDefault="005C7436" w:rsidP="002B36D7">
            <w:pPr>
              <w:spacing w:line="360" w:lineRule="auto"/>
              <w:jc w:val="center"/>
              <w:rPr>
                <w:b/>
                <w:sz w:val="22"/>
                <w:szCs w:val="22"/>
              </w:rPr>
            </w:pPr>
            <w:r w:rsidRPr="00E051D8">
              <w:rPr>
                <w:b/>
                <w:sz w:val="22"/>
                <w:szCs w:val="22"/>
              </w:rPr>
              <w:t>Approval should be obtained from:</w:t>
            </w:r>
          </w:p>
        </w:tc>
        <w:tc>
          <w:tcPr>
            <w:tcW w:w="1350" w:type="dxa"/>
            <w:shd w:val="clear" w:color="auto" w:fill="D9D9D9"/>
          </w:tcPr>
          <w:p w14:paraId="0C58B010" w14:textId="77777777" w:rsidR="005C7436" w:rsidRPr="00E051D8" w:rsidRDefault="005C7436" w:rsidP="002B36D7">
            <w:pPr>
              <w:spacing w:line="360" w:lineRule="auto"/>
              <w:jc w:val="center"/>
              <w:rPr>
                <w:b/>
                <w:sz w:val="22"/>
                <w:szCs w:val="22"/>
              </w:rPr>
            </w:pPr>
            <w:r w:rsidRPr="00E051D8">
              <w:rPr>
                <w:b/>
                <w:sz w:val="22"/>
                <w:szCs w:val="22"/>
              </w:rPr>
              <w:t>Percentage of Payment</w:t>
            </w:r>
          </w:p>
        </w:tc>
      </w:tr>
      <w:tr w:rsidR="00777A4F" w:rsidRPr="00E051D8" w14:paraId="338F3348" w14:textId="77777777" w:rsidTr="002B36D7">
        <w:tc>
          <w:tcPr>
            <w:tcW w:w="630" w:type="dxa"/>
            <w:shd w:val="clear" w:color="auto" w:fill="auto"/>
          </w:tcPr>
          <w:p w14:paraId="26BCE600" w14:textId="77777777" w:rsidR="00777A4F" w:rsidRPr="00E051D8" w:rsidRDefault="00777A4F" w:rsidP="002B36D7">
            <w:pPr>
              <w:spacing w:line="360" w:lineRule="auto"/>
              <w:jc w:val="center"/>
              <w:rPr>
                <w:sz w:val="22"/>
                <w:szCs w:val="22"/>
              </w:rPr>
            </w:pPr>
            <w:r w:rsidRPr="00E051D8">
              <w:rPr>
                <w:sz w:val="22"/>
                <w:szCs w:val="22"/>
              </w:rPr>
              <w:t>1</w:t>
            </w:r>
          </w:p>
        </w:tc>
        <w:tc>
          <w:tcPr>
            <w:tcW w:w="2268" w:type="dxa"/>
            <w:shd w:val="clear" w:color="auto" w:fill="auto"/>
          </w:tcPr>
          <w:p w14:paraId="37D04CA4" w14:textId="77777777" w:rsidR="00777A4F" w:rsidRPr="00E051D8" w:rsidRDefault="00777A4F" w:rsidP="002B36D7">
            <w:pPr>
              <w:autoSpaceDE w:val="0"/>
              <w:autoSpaceDN w:val="0"/>
              <w:spacing w:line="360" w:lineRule="auto"/>
              <w:rPr>
                <w:sz w:val="22"/>
                <w:szCs w:val="22"/>
              </w:rPr>
            </w:pPr>
            <w:r w:rsidRPr="00E051D8">
              <w:rPr>
                <w:sz w:val="22"/>
                <w:szCs w:val="22"/>
              </w:rPr>
              <w:t>1</w:t>
            </w:r>
            <w:r w:rsidRPr="00925022">
              <w:rPr>
                <w:sz w:val="22"/>
                <w:szCs w:val="22"/>
              </w:rPr>
              <w:t xml:space="preserve">st </w:t>
            </w:r>
            <w:r w:rsidRPr="00E051D8">
              <w:rPr>
                <w:sz w:val="22"/>
                <w:szCs w:val="22"/>
              </w:rPr>
              <w:t xml:space="preserve"> Installment </w:t>
            </w:r>
          </w:p>
        </w:tc>
        <w:tc>
          <w:tcPr>
            <w:tcW w:w="2970" w:type="dxa"/>
            <w:shd w:val="clear" w:color="auto" w:fill="auto"/>
          </w:tcPr>
          <w:p w14:paraId="4D1903B9" w14:textId="77777777" w:rsidR="00777A4F" w:rsidRPr="00E051D8" w:rsidRDefault="00777A4F" w:rsidP="002B36D7">
            <w:pPr>
              <w:autoSpaceDE w:val="0"/>
              <w:autoSpaceDN w:val="0"/>
              <w:spacing w:line="360" w:lineRule="auto"/>
              <w:rPr>
                <w:sz w:val="22"/>
                <w:szCs w:val="22"/>
              </w:rPr>
            </w:pPr>
            <w:r w:rsidRPr="00E051D8">
              <w:rPr>
                <w:sz w:val="22"/>
                <w:szCs w:val="22"/>
              </w:rPr>
              <w:t xml:space="preserve">Submission of Inception </w:t>
            </w:r>
            <w:bookmarkStart w:id="1" w:name="_GoBack"/>
            <w:bookmarkEnd w:id="1"/>
            <w:r w:rsidRPr="00E051D8">
              <w:rPr>
                <w:sz w:val="22"/>
                <w:szCs w:val="22"/>
              </w:rPr>
              <w:t>Report</w:t>
            </w:r>
          </w:p>
        </w:tc>
        <w:tc>
          <w:tcPr>
            <w:tcW w:w="2520" w:type="dxa"/>
            <w:shd w:val="clear" w:color="auto" w:fill="auto"/>
          </w:tcPr>
          <w:p w14:paraId="53B0A95F" w14:textId="77777777" w:rsidR="00777A4F" w:rsidRDefault="0040313B">
            <w:r>
              <w:rPr>
                <w:sz w:val="22"/>
                <w:szCs w:val="22"/>
              </w:rPr>
              <w:t xml:space="preserve">UDP and </w:t>
            </w:r>
            <w:r w:rsidR="00777A4F" w:rsidRPr="00B83059">
              <w:rPr>
                <w:sz w:val="22"/>
                <w:szCs w:val="22"/>
              </w:rPr>
              <w:t>MoWIE</w:t>
            </w:r>
          </w:p>
        </w:tc>
        <w:tc>
          <w:tcPr>
            <w:tcW w:w="1350" w:type="dxa"/>
            <w:shd w:val="clear" w:color="auto" w:fill="auto"/>
          </w:tcPr>
          <w:p w14:paraId="3B5E8132" w14:textId="77777777" w:rsidR="00777A4F" w:rsidRPr="00E051D8" w:rsidRDefault="00777A4F" w:rsidP="002B36D7">
            <w:pPr>
              <w:spacing w:before="100" w:line="360" w:lineRule="auto"/>
              <w:rPr>
                <w:rFonts w:eastAsia="Calibri"/>
                <w:sz w:val="22"/>
                <w:szCs w:val="22"/>
              </w:rPr>
            </w:pPr>
            <w:r w:rsidRPr="00E051D8">
              <w:rPr>
                <w:rFonts w:eastAsia="Calibri"/>
                <w:sz w:val="22"/>
                <w:szCs w:val="22"/>
              </w:rPr>
              <w:t>30%</w:t>
            </w:r>
          </w:p>
        </w:tc>
      </w:tr>
      <w:tr w:rsidR="00777A4F" w:rsidRPr="00E051D8" w14:paraId="66991FC7" w14:textId="77777777" w:rsidTr="002B36D7">
        <w:tc>
          <w:tcPr>
            <w:tcW w:w="630" w:type="dxa"/>
            <w:shd w:val="clear" w:color="auto" w:fill="auto"/>
          </w:tcPr>
          <w:p w14:paraId="31252C21" w14:textId="5989770C" w:rsidR="00777A4F" w:rsidRPr="00E051D8" w:rsidRDefault="00CC00A7" w:rsidP="002B36D7">
            <w:pPr>
              <w:spacing w:line="360" w:lineRule="auto"/>
              <w:jc w:val="center"/>
              <w:rPr>
                <w:sz w:val="22"/>
                <w:szCs w:val="22"/>
              </w:rPr>
            </w:pPr>
            <w:r>
              <w:rPr>
                <w:sz w:val="22"/>
                <w:szCs w:val="22"/>
              </w:rPr>
              <w:t>2</w:t>
            </w:r>
          </w:p>
        </w:tc>
        <w:tc>
          <w:tcPr>
            <w:tcW w:w="2268" w:type="dxa"/>
            <w:shd w:val="clear" w:color="auto" w:fill="auto"/>
          </w:tcPr>
          <w:p w14:paraId="7A1AB697" w14:textId="449EDE58" w:rsidR="00777A4F" w:rsidRPr="00E051D8" w:rsidRDefault="00CC00A7" w:rsidP="00195345">
            <w:pPr>
              <w:autoSpaceDE w:val="0"/>
              <w:autoSpaceDN w:val="0"/>
              <w:spacing w:line="360" w:lineRule="auto"/>
              <w:rPr>
                <w:sz w:val="22"/>
                <w:szCs w:val="22"/>
              </w:rPr>
            </w:pPr>
            <w:r>
              <w:rPr>
                <w:sz w:val="22"/>
                <w:szCs w:val="22"/>
              </w:rPr>
              <w:t>2nd</w:t>
            </w:r>
            <w:r w:rsidR="00777A4F" w:rsidRPr="00E051D8">
              <w:rPr>
                <w:sz w:val="22"/>
                <w:szCs w:val="22"/>
              </w:rPr>
              <w:t xml:space="preserve"> Installment</w:t>
            </w:r>
          </w:p>
        </w:tc>
        <w:tc>
          <w:tcPr>
            <w:tcW w:w="2970" w:type="dxa"/>
            <w:shd w:val="clear" w:color="auto" w:fill="auto"/>
          </w:tcPr>
          <w:p w14:paraId="6DDBBF6E" w14:textId="6B566FEF" w:rsidR="00777A4F" w:rsidRPr="00E051D8" w:rsidRDefault="00CC00A7" w:rsidP="002B36D7">
            <w:pPr>
              <w:autoSpaceDE w:val="0"/>
              <w:autoSpaceDN w:val="0"/>
              <w:spacing w:line="360" w:lineRule="auto"/>
              <w:rPr>
                <w:sz w:val="22"/>
                <w:szCs w:val="22"/>
              </w:rPr>
            </w:pPr>
            <w:r>
              <w:rPr>
                <w:sz w:val="22"/>
                <w:szCs w:val="22"/>
              </w:rPr>
              <w:t>Final versions of output 3 and 4 in hard and soft copies</w:t>
            </w:r>
          </w:p>
        </w:tc>
        <w:tc>
          <w:tcPr>
            <w:tcW w:w="2520" w:type="dxa"/>
            <w:shd w:val="clear" w:color="auto" w:fill="auto"/>
          </w:tcPr>
          <w:p w14:paraId="224BD37A" w14:textId="13879897" w:rsidR="00777A4F" w:rsidRDefault="0040313B">
            <w:r>
              <w:rPr>
                <w:sz w:val="22"/>
                <w:szCs w:val="22"/>
              </w:rPr>
              <w:t xml:space="preserve">UDP and </w:t>
            </w:r>
            <w:r w:rsidR="00777A4F" w:rsidRPr="00B83059">
              <w:rPr>
                <w:sz w:val="22"/>
                <w:szCs w:val="22"/>
              </w:rPr>
              <w:t>MoWIE</w:t>
            </w:r>
          </w:p>
        </w:tc>
        <w:tc>
          <w:tcPr>
            <w:tcW w:w="1350" w:type="dxa"/>
            <w:shd w:val="clear" w:color="auto" w:fill="auto"/>
          </w:tcPr>
          <w:p w14:paraId="51FCB42E" w14:textId="09A82373" w:rsidR="00777A4F" w:rsidRPr="00E051D8" w:rsidRDefault="00A37037" w:rsidP="002B36D7">
            <w:pPr>
              <w:spacing w:before="100" w:line="360" w:lineRule="auto"/>
              <w:rPr>
                <w:rFonts w:eastAsia="Tahoma"/>
                <w:sz w:val="22"/>
                <w:szCs w:val="22"/>
              </w:rPr>
            </w:pPr>
            <w:r>
              <w:rPr>
                <w:rFonts w:eastAsia="Tahoma"/>
                <w:sz w:val="22"/>
                <w:szCs w:val="22"/>
              </w:rPr>
              <w:t>7</w:t>
            </w:r>
            <w:r w:rsidR="00777A4F" w:rsidRPr="00E051D8">
              <w:rPr>
                <w:rFonts w:eastAsia="Tahoma"/>
                <w:sz w:val="22"/>
                <w:szCs w:val="22"/>
              </w:rPr>
              <w:t xml:space="preserve">0%    </w:t>
            </w:r>
          </w:p>
        </w:tc>
      </w:tr>
    </w:tbl>
    <w:p w14:paraId="1B64F1AF" w14:textId="77777777" w:rsidR="005C7436" w:rsidRPr="00E051D8" w:rsidRDefault="005C7436" w:rsidP="005C7436">
      <w:pPr>
        <w:spacing w:line="360" w:lineRule="auto"/>
        <w:rPr>
          <w:sz w:val="22"/>
          <w:szCs w:val="22"/>
        </w:rPr>
      </w:pPr>
      <w:bookmarkStart w:id="2" w:name="_Toc121645506"/>
    </w:p>
    <w:p w14:paraId="0A9878A1" w14:textId="7F71588C" w:rsidR="005C7436" w:rsidRPr="00E051D8" w:rsidRDefault="006B1AC2" w:rsidP="005C7436">
      <w:pPr>
        <w:widowControl/>
        <w:shd w:val="clear" w:color="auto" w:fill="92D050"/>
        <w:overflowPunct/>
        <w:adjustRightInd/>
        <w:spacing w:line="360" w:lineRule="auto"/>
        <w:rPr>
          <w:b/>
          <w:kern w:val="0"/>
          <w:sz w:val="22"/>
          <w:szCs w:val="22"/>
        </w:rPr>
      </w:pPr>
      <w:r>
        <w:rPr>
          <w:b/>
          <w:kern w:val="0"/>
          <w:sz w:val="22"/>
          <w:szCs w:val="22"/>
        </w:rPr>
        <w:t>X</w:t>
      </w:r>
      <w:r w:rsidR="005C7436" w:rsidRPr="00E051D8">
        <w:rPr>
          <w:b/>
          <w:kern w:val="0"/>
          <w:sz w:val="22"/>
          <w:szCs w:val="22"/>
        </w:rPr>
        <w:t xml:space="preserve">. Criteria for Selecting the Best Offer </w:t>
      </w:r>
    </w:p>
    <w:p w14:paraId="165878DB" w14:textId="77777777" w:rsidR="005C7436" w:rsidRPr="00E051D8" w:rsidRDefault="005C7436" w:rsidP="005C7436">
      <w:pPr>
        <w:spacing w:line="360" w:lineRule="auto"/>
        <w:jc w:val="both"/>
        <w:rPr>
          <w:sz w:val="22"/>
          <w:szCs w:val="22"/>
        </w:rPr>
      </w:pPr>
    </w:p>
    <w:p w14:paraId="5B211E28" w14:textId="2DC2C990" w:rsidR="005C7436" w:rsidRPr="00E051D8" w:rsidRDefault="005C7436" w:rsidP="005C7436">
      <w:pPr>
        <w:spacing w:line="360" w:lineRule="auto"/>
        <w:jc w:val="both"/>
        <w:rPr>
          <w:sz w:val="22"/>
          <w:szCs w:val="22"/>
        </w:rPr>
      </w:pPr>
      <w:r w:rsidRPr="00E051D8">
        <w:rPr>
          <w:sz w:val="22"/>
          <w:szCs w:val="22"/>
        </w:rPr>
        <w:t xml:space="preserve">The application </w:t>
      </w:r>
      <w:r w:rsidR="005710B5">
        <w:rPr>
          <w:sz w:val="22"/>
          <w:szCs w:val="22"/>
        </w:rPr>
        <w:t>process requires submission of</w:t>
      </w:r>
      <w:r w:rsidRPr="00E051D8">
        <w:rPr>
          <w:sz w:val="22"/>
          <w:szCs w:val="22"/>
        </w:rPr>
        <w:t xml:space="preserve"> </w:t>
      </w:r>
      <w:r w:rsidR="00A37853">
        <w:rPr>
          <w:sz w:val="22"/>
          <w:szCs w:val="22"/>
        </w:rPr>
        <w:t>an application</w:t>
      </w:r>
      <w:r w:rsidR="00A81D19">
        <w:rPr>
          <w:sz w:val="22"/>
          <w:szCs w:val="22"/>
        </w:rPr>
        <w:t xml:space="preserve"> package</w:t>
      </w:r>
      <w:r w:rsidR="00A37853">
        <w:rPr>
          <w:sz w:val="22"/>
          <w:szCs w:val="22"/>
        </w:rPr>
        <w:t xml:space="preserve">, including </w:t>
      </w:r>
      <w:r w:rsidR="00A81D19">
        <w:rPr>
          <w:sz w:val="22"/>
          <w:szCs w:val="22"/>
        </w:rPr>
        <w:t xml:space="preserve">CVs and other </w:t>
      </w:r>
      <w:r w:rsidR="00E94F41">
        <w:rPr>
          <w:sz w:val="22"/>
          <w:szCs w:val="22"/>
        </w:rPr>
        <w:t xml:space="preserve">documents </w:t>
      </w:r>
      <w:r w:rsidR="00A81D19">
        <w:rPr>
          <w:sz w:val="22"/>
          <w:szCs w:val="22"/>
        </w:rPr>
        <w:t xml:space="preserve">on the qualification of the expert(s), the methodology and work plan, and a budget plan. </w:t>
      </w:r>
    </w:p>
    <w:p w14:paraId="208ED201" w14:textId="77777777" w:rsidR="005C7436" w:rsidRPr="00E051D8" w:rsidRDefault="005C7436" w:rsidP="005C7436">
      <w:pPr>
        <w:autoSpaceDE w:val="0"/>
        <w:autoSpaceDN w:val="0"/>
        <w:spacing w:line="360" w:lineRule="auto"/>
        <w:jc w:val="both"/>
        <w:rPr>
          <w:sz w:val="22"/>
          <w:szCs w:val="22"/>
        </w:rPr>
      </w:pPr>
    </w:p>
    <w:p w14:paraId="0993983C" w14:textId="055212C9" w:rsidR="00296168" w:rsidRPr="00AF0499" w:rsidRDefault="00296168" w:rsidP="005C7436">
      <w:pPr>
        <w:numPr>
          <w:ilvl w:val="0"/>
          <w:numId w:val="7"/>
        </w:numPr>
        <w:tabs>
          <w:tab w:val="num" w:pos="260"/>
        </w:tabs>
        <w:autoSpaceDE w:val="0"/>
        <w:autoSpaceDN w:val="0"/>
        <w:spacing w:line="360" w:lineRule="auto"/>
        <w:ind w:left="260" w:hanging="260"/>
        <w:jc w:val="both"/>
        <w:rPr>
          <w:b/>
          <w:bCs/>
          <w:sz w:val="22"/>
          <w:szCs w:val="22"/>
          <w:highlight w:val="green"/>
        </w:rPr>
      </w:pPr>
      <w:r w:rsidRPr="00AF0499">
        <w:rPr>
          <w:b/>
          <w:bCs/>
          <w:sz w:val="22"/>
          <w:szCs w:val="22"/>
          <w:highlight w:val="green"/>
        </w:rPr>
        <w:t xml:space="preserve">Expert qualifications </w:t>
      </w:r>
    </w:p>
    <w:p w14:paraId="221B324D" w14:textId="0A37C76C" w:rsidR="005C7436" w:rsidRPr="00E051D8" w:rsidRDefault="00296168" w:rsidP="00A04723">
      <w:pPr>
        <w:autoSpaceDE w:val="0"/>
        <w:autoSpaceDN w:val="0"/>
        <w:spacing w:line="360" w:lineRule="auto"/>
        <w:jc w:val="both"/>
        <w:rPr>
          <w:b/>
          <w:bCs/>
          <w:sz w:val="22"/>
          <w:szCs w:val="22"/>
        </w:rPr>
      </w:pPr>
      <w:r w:rsidRPr="00A04723">
        <w:rPr>
          <w:bCs/>
          <w:sz w:val="22"/>
          <w:szCs w:val="22"/>
        </w:rPr>
        <w:t>The documents on the expert(s)</w:t>
      </w:r>
      <w:r w:rsidR="006459B2" w:rsidRPr="00A04723">
        <w:rPr>
          <w:bCs/>
          <w:sz w:val="22"/>
          <w:szCs w:val="22"/>
        </w:rPr>
        <w:t>'</w:t>
      </w:r>
      <w:r w:rsidRPr="00A04723">
        <w:rPr>
          <w:bCs/>
          <w:sz w:val="22"/>
          <w:szCs w:val="22"/>
        </w:rPr>
        <w:t xml:space="preserve"> qualifications should consist of the following:</w:t>
      </w:r>
      <w:r w:rsidR="005C7436" w:rsidRPr="00E051D8">
        <w:rPr>
          <w:b/>
          <w:bCs/>
          <w:sz w:val="22"/>
          <w:szCs w:val="22"/>
        </w:rPr>
        <w:t xml:space="preserve"> </w:t>
      </w:r>
    </w:p>
    <w:p w14:paraId="086587D2" w14:textId="77777777" w:rsidR="005C7436" w:rsidRPr="00E051D8" w:rsidRDefault="005C7436" w:rsidP="005C7436">
      <w:pPr>
        <w:autoSpaceDE w:val="0"/>
        <w:autoSpaceDN w:val="0"/>
        <w:spacing w:line="360" w:lineRule="auto"/>
        <w:jc w:val="both"/>
        <w:rPr>
          <w:b/>
          <w:bCs/>
          <w:sz w:val="22"/>
          <w:szCs w:val="22"/>
        </w:rPr>
      </w:pPr>
    </w:p>
    <w:p w14:paraId="3A184095" w14:textId="77777777" w:rsidR="005C7436" w:rsidRPr="00E051D8" w:rsidRDefault="00A37853" w:rsidP="005C7436">
      <w:pPr>
        <w:numPr>
          <w:ilvl w:val="1"/>
          <w:numId w:val="7"/>
        </w:numPr>
        <w:tabs>
          <w:tab w:val="clear" w:pos="1440"/>
          <w:tab w:val="num" w:pos="780"/>
        </w:tabs>
        <w:autoSpaceDE w:val="0"/>
        <w:autoSpaceDN w:val="0"/>
        <w:spacing w:line="360" w:lineRule="auto"/>
        <w:ind w:left="780" w:hanging="295"/>
        <w:jc w:val="both"/>
        <w:rPr>
          <w:sz w:val="22"/>
          <w:szCs w:val="22"/>
        </w:rPr>
      </w:pPr>
      <w:r>
        <w:rPr>
          <w:sz w:val="22"/>
          <w:szCs w:val="22"/>
        </w:rPr>
        <w:lastRenderedPageBreak/>
        <w:t>R</w:t>
      </w:r>
      <w:r w:rsidR="005C7436" w:rsidRPr="00E051D8">
        <w:rPr>
          <w:sz w:val="22"/>
          <w:szCs w:val="22"/>
        </w:rPr>
        <w:t xml:space="preserve">ecent experience on assignments of similar nature along with a letter of testimonies for the successful completion of assignments. </w:t>
      </w:r>
    </w:p>
    <w:p w14:paraId="718A7070" w14:textId="2EEEA120" w:rsidR="005C7436" w:rsidRPr="00E051D8" w:rsidRDefault="00687A19" w:rsidP="005C7436">
      <w:pPr>
        <w:numPr>
          <w:ilvl w:val="1"/>
          <w:numId w:val="7"/>
        </w:numPr>
        <w:tabs>
          <w:tab w:val="clear" w:pos="1440"/>
          <w:tab w:val="num" w:pos="780"/>
        </w:tabs>
        <w:autoSpaceDE w:val="0"/>
        <w:autoSpaceDN w:val="0"/>
        <w:spacing w:line="360" w:lineRule="auto"/>
        <w:ind w:left="780" w:hanging="295"/>
        <w:jc w:val="both"/>
        <w:rPr>
          <w:sz w:val="22"/>
          <w:szCs w:val="22"/>
        </w:rPr>
      </w:pPr>
      <w:r>
        <w:rPr>
          <w:sz w:val="22"/>
          <w:szCs w:val="22"/>
        </w:rPr>
        <w:t>A c</w:t>
      </w:r>
      <w:r w:rsidRPr="00E051D8">
        <w:rPr>
          <w:sz w:val="22"/>
          <w:szCs w:val="22"/>
        </w:rPr>
        <w:t xml:space="preserve">lear </w:t>
      </w:r>
      <w:r w:rsidR="005C7436" w:rsidRPr="00E051D8">
        <w:rPr>
          <w:sz w:val="22"/>
          <w:szCs w:val="22"/>
        </w:rPr>
        <w:t xml:space="preserve">description of the methodology and work plan that the consultants propose to execute the assignment, illustrated where appropriate, activities described with bar charts </w:t>
      </w:r>
    </w:p>
    <w:p w14:paraId="670877FD" w14:textId="77777777" w:rsidR="005C7436" w:rsidRPr="00E051D8" w:rsidRDefault="005C7436" w:rsidP="005C7436">
      <w:pPr>
        <w:numPr>
          <w:ilvl w:val="1"/>
          <w:numId w:val="7"/>
        </w:numPr>
        <w:tabs>
          <w:tab w:val="clear" w:pos="1440"/>
          <w:tab w:val="num" w:pos="780"/>
        </w:tabs>
        <w:autoSpaceDE w:val="0"/>
        <w:autoSpaceDN w:val="0"/>
        <w:spacing w:line="360" w:lineRule="auto"/>
        <w:ind w:left="780" w:right="60" w:hanging="295"/>
        <w:jc w:val="both"/>
        <w:rPr>
          <w:sz w:val="22"/>
          <w:szCs w:val="22"/>
        </w:rPr>
      </w:pPr>
      <w:r w:rsidRPr="00E051D8">
        <w:rPr>
          <w:sz w:val="22"/>
          <w:szCs w:val="22"/>
        </w:rPr>
        <w:t>Curriculum Vitae of individual consultants- Personal CV including experience in similar projects and at least 3 references shall be provided. In addition, a copy of certificates (such as training certificates related to the assignment) of each individual assigned to the specific tasks described above shall be provided.</w:t>
      </w:r>
    </w:p>
    <w:p w14:paraId="2947BC66" w14:textId="35BBF6CA" w:rsidR="00AE0DA3" w:rsidRDefault="00AE0DA3" w:rsidP="00A04723">
      <w:pPr>
        <w:autoSpaceDE w:val="0"/>
        <w:autoSpaceDN w:val="0"/>
        <w:spacing w:line="360" w:lineRule="auto"/>
        <w:ind w:right="60"/>
        <w:jc w:val="both"/>
        <w:rPr>
          <w:b/>
          <w:bCs/>
          <w:sz w:val="22"/>
          <w:szCs w:val="22"/>
        </w:rPr>
      </w:pPr>
      <w:r>
        <w:rPr>
          <w:sz w:val="22"/>
          <w:szCs w:val="22"/>
        </w:rPr>
        <w:t xml:space="preserve">If two or more consultants will </w:t>
      </w:r>
      <w:r w:rsidR="00687A19">
        <w:rPr>
          <w:sz w:val="22"/>
          <w:szCs w:val="22"/>
        </w:rPr>
        <w:t>participate</w:t>
      </w:r>
      <w:r>
        <w:rPr>
          <w:sz w:val="22"/>
          <w:szCs w:val="22"/>
        </w:rPr>
        <w:t xml:space="preserve"> in the assignment, roles</w:t>
      </w:r>
      <w:r w:rsidR="00687A19">
        <w:rPr>
          <w:sz w:val="22"/>
          <w:szCs w:val="22"/>
        </w:rPr>
        <w:t>,</w:t>
      </w:r>
      <w:r>
        <w:rPr>
          <w:sz w:val="22"/>
          <w:szCs w:val="22"/>
        </w:rPr>
        <w:t xml:space="preserve"> and responsibilities of each </w:t>
      </w:r>
      <w:r w:rsidR="006459B2">
        <w:rPr>
          <w:sz w:val="22"/>
          <w:szCs w:val="22"/>
        </w:rPr>
        <w:t>C</w:t>
      </w:r>
      <w:r>
        <w:rPr>
          <w:sz w:val="22"/>
          <w:szCs w:val="22"/>
        </w:rPr>
        <w:t>onsultant.</w:t>
      </w:r>
    </w:p>
    <w:p w14:paraId="09DEE4C3" w14:textId="694E6234" w:rsidR="00AE0DA3" w:rsidRPr="00AF0499" w:rsidRDefault="00AE0DA3" w:rsidP="00AF0499">
      <w:pPr>
        <w:numPr>
          <w:ilvl w:val="0"/>
          <w:numId w:val="7"/>
        </w:numPr>
        <w:tabs>
          <w:tab w:val="num" w:pos="260"/>
        </w:tabs>
        <w:autoSpaceDE w:val="0"/>
        <w:autoSpaceDN w:val="0"/>
        <w:spacing w:line="360" w:lineRule="auto"/>
        <w:ind w:left="260" w:hanging="260"/>
        <w:jc w:val="both"/>
        <w:rPr>
          <w:b/>
          <w:bCs/>
          <w:sz w:val="22"/>
          <w:szCs w:val="22"/>
          <w:highlight w:val="green"/>
        </w:rPr>
      </w:pPr>
      <w:r w:rsidRPr="00AF0499">
        <w:rPr>
          <w:b/>
          <w:bCs/>
          <w:sz w:val="22"/>
          <w:szCs w:val="22"/>
          <w:highlight w:val="green"/>
        </w:rPr>
        <w:t xml:space="preserve">The </w:t>
      </w:r>
      <w:r w:rsidR="00296168" w:rsidRPr="00AF0499">
        <w:rPr>
          <w:b/>
          <w:bCs/>
          <w:sz w:val="22"/>
          <w:szCs w:val="22"/>
          <w:highlight w:val="green"/>
        </w:rPr>
        <w:t xml:space="preserve">methodology and </w:t>
      </w:r>
      <w:r w:rsidRPr="00AF0499">
        <w:rPr>
          <w:b/>
          <w:bCs/>
          <w:sz w:val="22"/>
          <w:szCs w:val="22"/>
          <w:highlight w:val="green"/>
        </w:rPr>
        <w:t xml:space="preserve">work plan </w:t>
      </w:r>
    </w:p>
    <w:p w14:paraId="60698029" w14:textId="4DC649E3" w:rsidR="00FD5831" w:rsidRDefault="001406B2" w:rsidP="00A04723">
      <w:pPr>
        <w:autoSpaceDE w:val="0"/>
        <w:autoSpaceDN w:val="0"/>
        <w:spacing w:line="360" w:lineRule="auto"/>
        <w:ind w:right="60"/>
        <w:jc w:val="both"/>
        <w:rPr>
          <w:bCs/>
          <w:sz w:val="22"/>
          <w:szCs w:val="22"/>
        </w:rPr>
      </w:pPr>
      <w:r>
        <w:rPr>
          <w:bCs/>
          <w:sz w:val="22"/>
          <w:szCs w:val="22"/>
        </w:rPr>
        <w:t>In the methodology description, t</w:t>
      </w:r>
      <w:r w:rsidR="00FD5831">
        <w:rPr>
          <w:bCs/>
          <w:sz w:val="22"/>
          <w:szCs w:val="22"/>
        </w:rPr>
        <w:t xml:space="preserve">he applicant should indicate the detailed methodology </w:t>
      </w:r>
      <w:r>
        <w:rPr>
          <w:bCs/>
          <w:sz w:val="22"/>
          <w:szCs w:val="22"/>
        </w:rPr>
        <w:t xml:space="preserve">of GHG emission reduction assessment for each policy intervention, including existing data source, </w:t>
      </w:r>
      <w:r w:rsidR="00FD5831">
        <w:rPr>
          <w:bCs/>
          <w:sz w:val="22"/>
          <w:szCs w:val="22"/>
        </w:rPr>
        <w:t>data collection, baseline setting, source of activity and energy consumption data</w:t>
      </w:r>
      <w:r>
        <w:rPr>
          <w:bCs/>
          <w:sz w:val="22"/>
          <w:szCs w:val="22"/>
        </w:rPr>
        <w:t>, and how to calculation the GHG mitigation effect</w:t>
      </w:r>
      <w:r w:rsidR="00FD5831">
        <w:rPr>
          <w:bCs/>
          <w:sz w:val="22"/>
          <w:szCs w:val="22"/>
        </w:rPr>
        <w:t xml:space="preserve">. </w:t>
      </w:r>
    </w:p>
    <w:p w14:paraId="5A134191" w14:textId="3FAB072E" w:rsidR="00FD5831" w:rsidRDefault="00AE0DA3" w:rsidP="00A04723">
      <w:pPr>
        <w:autoSpaceDE w:val="0"/>
        <w:autoSpaceDN w:val="0"/>
        <w:spacing w:line="360" w:lineRule="auto"/>
        <w:ind w:right="60"/>
        <w:jc w:val="both"/>
        <w:rPr>
          <w:bCs/>
          <w:sz w:val="22"/>
          <w:szCs w:val="22"/>
        </w:rPr>
      </w:pPr>
      <w:r w:rsidRPr="00A04723">
        <w:rPr>
          <w:bCs/>
          <w:sz w:val="22"/>
          <w:szCs w:val="22"/>
        </w:rPr>
        <w:t>The work plan should indicate the number of workdays and start and ending dates of each deliverable and the workl</w:t>
      </w:r>
      <w:r w:rsidR="00296168" w:rsidRPr="00A04723">
        <w:rPr>
          <w:bCs/>
          <w:sz w:val="22"/>
          <w:szCs w:val="22"/>
        </w:rPr>
        <w:t>oad estimate for finishing each policy assessmen</w:t>
      </w:r>
      <w:r w:rsidR="00FD5831" w:rsidRPr="00A81D19">
        <w:rPr>
          <w:bCs/>
          <w:sz w:val="22"/>
          <w:szCs w:val="22"/>
        </w:rPr>
        <w:t>t and each output</w:t>
      </w:r>
      <w:r w:rsidR="00296168" w:rsidRPr="00A04723">
        <w:rPr>
          <w:bCs/>
          <w:sz w:val="22"/>
          <w:szCs w:val="22"/>
        </w:rPr>
        <w:t xml:space="preserve">. </w:t>
      </w:r>
    </w:p>
    <w:p w14:paraId="724C1591" w14:textId="2BC50ADD" w:rsidR="00FD5831" w:rsidRDefault="00FD5831" w:rsidP="00A04723">
      <w:pPr>
        <w:autoSpaceDE w:val="0"/>
        <w:autoSpaceDN w:val="0"/>
        <w:spacing w:line="360" w:lineRule="auto"/>
        <w:jc w:val="both"/>
        <w:rPr>
          <w:sz w:val="22"/>
          <w:szCs w:val="22"/>
        </w:rPr>
      </w:pPr>
      <w:r w:rsidRPr="00E051D8">
        <w:rPr>
          <w:sz w:val="22"/>
          <w:szCs w:val="22"/>
        </w:rPr>
        <w:t xml:space="preserve">The </w:t>
      </w:r>
      <w:r>
        <w:rPr>
          <w:sz w:val="22"/>
          <w:szCs w:val="22"/>
        </w:rPr>
        <w:t>C</w:t>
      </w:r>
      <w:r w:rsidRPr="00E051D8">
        <w:rPr>
          <w:sz w:val="22"/>
          <w:szCs w:val="22"/>
        </w:rPr>
        <w:t>onsultant</w:t>
      </w:r>
      <w:r w:rsidR="006459B2">
        <w:rPr>
          <w:sz w:val="22"/>
          <w:szCs w:val="22"/>
        </w:rPr>
        <w:t>'</w:t>
      </w:r>
      <w:r w:rsidRPr="00E051D8">
        <w:rPr>
          <w:sz w:val="22"/>
          <w:szCs w:val="22"/>
        </w:rPr>
        <w:t xml:space="preserve">s comments or suggestions, if any, on the TOR and appreciation of the assignment –the objectives, tasks, and deliverables. </w:t>
      </w:r>
    </w:p>
    <w:p w14:paraId="05B5B85C" w14:textId="77A182A9" w:rsidR="001406B2" w:rsidRPr="00AF0499" w:rsidRDefault="001406B2" w:rsidP="00AF0499">
      <w:pPr>
        <w:numPr>
          <w:ilvl w:val="0"/>
          <w:numId w:val="7"/>
        </w:numPr>
        <w:tabs>
          <w:tab w:val="num" w:pos="260"/>
        </w:tabs>
        <w:autoSpaceDE w:val="0"/>
        <w:autoSpaceDN w:val="0"/>
        <w:spacing w:line="360" w:lineRule="auto"/>
        <w:ind w:left="260" w:hanging="260"/>
        <w:jc w:val="both"/>
        <w:rPr>
          <w:b/>
          <w:bCs/>
          <w:sz w:val="22"/>
          <w:szCs w:val="22"/>
          <w:highlight w:val="green"/>
        </w:rPr>
      </w:pPr>
      <w:r w:rsidRPr="00AF0499">
        <w:rPr>
          <w:b/>
          <w:bCs/>
          <w:sz w:val="22"/>
          <w:szCs w:val="22"/>
          <w:highlight w:val="green"/>
        </w:rPr>
        <w:t xml:space="preserve">Budget plan </w:t>
      </w:r>
    </w:p>
    <w:p w14:paraId="688F2668" w14:textId="4C97D948" w:rsidR="00A576ED" w:rsidRDefault="001406B2" w:rsidP="00A04723">
      <w:pPr>
        <w:autoSpaceDE w:val="0"/>
        <w:autoSpaceDN w:val="0"/>
        <w:spacing w:line="360" w:lineRule="auto"/>
        <w:ind w:right="60"/>
        <w:jc w:val="both"/>
        <w:rPr>
          <w:bCs/>
          <w:sz w:val="22"/>
          <w:szCs w:val="22"/>
        </w:rPr>
      </w:pPr>
      <w:r>
        <w:rPr>
          <w:bCs/>
          <w:sz w:val="22"/>
          <w:szCs w:val="22"/>
        </w:rPr>
        <w:t>The application should indicate the daily rate of each expert, the number of days for each policy assessment and each output, the estimate of travel and miscellaneous costs</w:t>
      </w:r>
      <w:r w:rsidR="007B3F96">
        <w:rPr>
          <w:bCs/>
          <w:sz w:val="22"/>
          <w:szCs w:val="22"/>
        </w:rPr>
        <w:t>, as well as the total costs of the a</w:t>
      </w:r>
      <w:r w:rsidR="00687A19">
        <w:rPr>
          <w:bCs/>
          <w:sz w:val="22"/>
          <w:szCs w:val="22"/>
        </w:rPr>
        <w:t>s</w:t>
      </w:r>
      <w:r w:rsidR="007B3F96">
        <w:rPr>
          <w:bCs/>
          <w:sz w:val="22"/>
          <w:szCs w:val="22"/>
        </w:rPr>
        <w:t>signment</w:t>
      </w:r>
      <w:r>
        <w:rPr>
          <w:bCs/>
          <w:sz w:val="22"/>
          <w:szCs w:val="22"/>
        </w:rPr>
        <w:t xml:space="preserve">. </w:t>
      </w:r>
    </w:p>
    <w:p w14:paraId="0E07C175" w14:textId="1F76FEC1" w:rsidR="005C7436" w:rsidRPr="00AF0499" w:rsidRDefault="00296168" w:rsidP="00AF0499">
      <w:pPr>
        <w:numPr>
          <w:ilvl w:val="0"/>
          <w:numId w:val="7"/>
        </w:numPr>
        <w:tabs>
          <w:tab w:val="num" w:pos="260"/>
        </w:tabs>
        <w:autoSpaceDE w:val="0"/>
        <w:autoSpaceDN w:val="0"/>
        <w:spacing w:line="360" w:lineRule="auto"/>
        <w:ind w:left="260" w:hanging="260"/>
        <w:jc w:val="both"/>
        <w:rPr>
          <w:b/>
          <w:bCs/>
          <w:sz w:val="22"/>
          <w:szCs w:val="22"/>
          <w:highlight w:val="green"/>
        </w:rPr>
      </w:pPr>
      <w:r w:rsidRPr="00AF0499">
        <w:rPr>
          <w:b/>
          <w:bCs/>
          <w:sz w:val="22"/>
          <w:szCs w:val="22"/>
          <w:highlight w:val="green"/>
        </w:rPr>
        <w:t>Evaluation criteria</w:t>
      </w:r>
    </w:p>
    <w:p w14:paraId="5A956963" w14:textId="5A5E1E5A" w:rsidR="005C7436" w:rsidRDefault="00A576ED" w:rsidP="005C7436">
      <w:pPr>
        <w:spacing w:line="360" w:lineRule="auto"/>
        <w:jc w:val="both"/>
        <w:rPr>
          <w:sz w:val="22"/>
          <w:szCs w:val="22"/>
        </w:rPr>
      </w:pPr>
      <w:r>
        <w:rPr>
          <w:sz w:val="22"/>
          <w:szCs w:val="22"/>
        </w:rPr>
        <w:t xml:space="preserve">The applicant </w:t>
      </w:r>
      <w:r w:rsidR="005C7436" w:rsidRPr="00E051D8">
        <w:rPr>
          <w:sz w:val="22"/>
          <w:szCs w:val="22"/>
        </w:rPr>
        <w:t xml:space="preserve">will be evaluated based on Cumulative Analysis as per </w:t>
      </w:r>
      <w:r w:rsidR="00A81D19">
        <w:rPr>
          <w:sz w:val="22"/>
          <w:szCs w:val="22"/>
        </w:rPr>
        <w:t xml:space="preserve">Table 2. </w:t>
      </w:r>
    </w:p>
    <w:p w14:paraId="051AF1A8" w14:textId="0889BB9A" w:rsidR="00A81D19" w:rsidRPr="00E051D8" w:rsidRDefault="00A81D19" w:rsidP="005C7436">
      <w:pPr>
        <w:spacing w:line="360" w:lineRule="auto"/>
        <w:jc w:val="both"/>
        <w:rPr>
          <w:sz w:val="22"/>
          <w:szCs w:val="22"/>
        </w:rPr>
      </w:pPr>
      <w:r>
        <w:rPr>
          <w:sz w:val="22"/>
          <w:szCs w:val="22"/>
        </w:rPr>
        <w:t>Table 2.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6"/>
        <w:gridCol w:w="2088"/>
      </w:tblGrid>
      <w:tr w:rsidR="006A73B7" w:rsidRPr="00E051D8" w14:paraId="0F997AEC" w14:textId="77777777" w:rsidTr="002340BA">
        <w:trPr>
          <w:trHeight w:val="274"/>
        </w:trPr>
        <w:tc>
          <w:tcPr>
            <w:tcW w:w="6696" w:type="dxa"/>
            <w:tcBorders>
              <w:bottom w:val="single" w:sz="4" w:space="0" w:color="auto"/>
            </w:tcBorders>
            <w:shd w:val="clear" w:color="auto" w:fill="D9D9D9"/>
          </w:tcPr>
          <w:p w14:paraId="0887CE04" w14:textId="77777777" w:rsidR="006A73B7" w:rsidRPr="00E051D8" w:rsidRDefault="006A73B7" w:rsidP="002340BA">
            <w:pPr>
              <w:autoSpaceDE w:val="0"/>
              <w:autoSpaceDN w:val="0"/>
              <w:spacing w:line="360" w:lineRule="auto"/>
              <w:jc w:val="center"/>
              <w:rPr>
                <w:sz w:val="22"/>
                <w:szCs w:val="22"/>
              </w:rPr>
            </w:pPr>
            <w:r w:rsidRPr="00E051D8">
              <w:rPr>
                <w:sz w:val="22"/>
                <w:szCs w:val="22"/>
              </w:rPr>
              <w:t>Criteria</w:t>
            </w:r>
          </w:p>
        </w:tc>
        <w:tc>
          <w:tcPr>
            <w:tcW w:w="2088" w:type="dxa"/>
            <w:shd w:val="clear" w:color="auto" w:fill="D9D9D9"/>
          </w:tcPr>
          <w:p w14:paraId="5CF72028" w14:textId="77777777" w:rsidR="006A73B7" w:rsidRPr="00E051D8" w:rsidRDefault="006A73B7" w:rsidP="002340BA">
            <w:pPr>
              <w:autoSpaceDE w:val="0"/>
              <w:autoSpaceDN w:val="0"/>
              <w:spacing w:line="360" w:lineRule="auto"/>
              <w:jc w:val="center"/>
              <w:rPr>
                <w:sz w:val="22"/>
                <w:szCs w:val="22"/>
              </w:rPr>
            </w:pPr>
            <w:r w:rsidRPr="00E051D8">
              <w:rPr>
                <w:sz w:val="22"/>
                <w:szCs w:val="22"/>
              </w:rPr>
              <w:t>Weight</w:t>
            </w:r>
          </w:p>
        </w:tc>
      </w:tr>
      <w:tr w:rsidR="006A73B7" w:rsidRPr="00E051D8" w14:paraId="24A6745A" w14:textId="77777777" w:rsidTr="002340BA">
        <w:trPr>
          <w:trHeight w:val="152"/>
        </w:trPr>
        <w:tc>
          <w:tcPr>
            <w:tcW w:w="6696" w:type="dxa"/>
            <w:tcBorders>
              <w:top w:val="single" w:sz="4" w:space="0" w:color="auto"/>
            </w:tcBorders>
          </w:tcPr>
          <w:p w14:paraId="0E0D61CA" w14:textId="67BF3A22" w:rsidR="006A73B7" w:rsidRPr="00E051D8" w:rsidRDefault="006A73B7" w:rsidP="00A81D19">
            <w:pPr>
              <w:autoSpaceDE w:val="0"/>
              <w:autoSpaceDN w:val="0"/>
              <w:spacing w:line="360" w:lineRule="auto"/>
              <w:rPr>
                <w:sz w:val="22"/>
                <w:szCs w:val="22"/>
              </w:rPr>
            </w:pPr>
            <w:r w:rsidRPr="00E051D8">
              <w:rPr>
                <w:sz w:val="22"/>
                <w:szCs w:val="22"/>
              </w:rPr>
              <w:t>Criteri</w:t>
            </w:r>
            <w:r>
              <w:rPr>
                <w:sz w:val="22"/>
                <w:szCs w:val="22"/>
              </w:rPr>
              <w:t>on 1</w:t>
            </w:r>
            <w:r w:rsidR="00A576ED">
              <w:rPr>
                <w:sz w:val="22"/>
                <w:szCs w:val="22"/>
              </w:rPr>
              <w:t>:</w:t>
            </w:r>
            <w:r w:rsidRPr="00E051D8">
              <w:rPr>
                <w:sz w:val="22"/>
                <w:szCs w:val="22"/>
              </w:rPr>
              <w:t xml:space="preserve"> </w:t>
            </w:r>
            <w:r>
              <w:rPr>
                <w:sz w:val="22"/>
                <w:szCs w:val="22"/>
              </w:rPr>
              <w:t>Expert E</w:t>
            </w:r>
            <w:r w:rsidRPr="00E051D8">
              <w:rPr>
                <w:sz w:val="22"/>
                <w:szCs w:val="22"/>
              </w:rPr>
              <w:t>xperience</w:t>
            </w:r>
            <w:r>
              <w:rPr>
                <w:sz w:val="22"/>
                <w:szCs w:val="22"/>
              </w:rPr>
              <w:t>s</w:t>
            </w:r>
            <w:r w:rsidRPr="00E051D8">
              <w:rPr>
                <w:sz w:val="22"/>
                <w:szCs w:val="22"/>
              </w:rPr>
              <w:t xml:space="preserve"> and Qualification</w:t>
            </w:r>
            <w:r>
              <w:rPr>
                <w:sz w:val="22"/>
                <w:szCs w:val="22"/>
              </w:rPr>
              <w:t>s</w:t>
            </w:r>
          </w:p>
        </w:tc>
        <w:tc>
          <w:tcPr>
            <w:tcW w:w="2088" w:type="dxa"/>
            <w:tcBorders>
              <w:bottom w:val="single" w:sz="4" w:space="0" w:color="000000"/>
            </w:tcBorders>
            <w:shd w:val="clear" w:color="auto" w:fill="D9D9D9" w:themeFill="background1" w:themeFillShade="D9"/>
          </w:tcPr>
          <w:p w14:paraId="326D42BF" w14:textId="2E262995" w:rsidR="006A73B7" w:rsidRPr="00E051D8" w:rsidRDefault="00A576ED" w:rsidP="002340BA">
            <w:pPr>
              <w:autoSpaceDE w:val="0"/>
              <w:autoSpaceDN w:val="0"/>
              <w:spacing w:line="360" w:lineRule="auto"/>
              <w:jc w:val="center"/>
              <w:rPr>
                <w:sz w:val="22"/>
                <w:szCs w:val="22"/>
              </w:rPr>
            </w:pPr>
            <w:r>
              <w:rPr>
                <w:sz w:val="22"/>
                <w:szCs w:val="22"/>
              </w:rPr>
              <w:t>60</w:t>
            </w:r>
            <w:r w:rsidR="006A73B7">
              <w:rPr>
                <w:sz w:val="22"/>
                <w:szCs w:val="22"/>
              </w:rPr>
              <w:t>%</w:t>
            </w:r>
          </w:p>
        </w:tc>
      </w:tr>
      <w:tr w:rsidR="006A73B7" w:rsidRPr="00E051D8" w14:paraId="79B97EC5" w14:textId="77777777" w:rsidTr="002340BA">
        <w:trPr>
          <w:trHeight w:val="274"/>
        </w:trPr>
        <w:tc>
          <w:tcPr>
            <w:tcW w:w="6696" w:type="dxa"/>
          </w:tcPr>
          <w:p w14:paraId="20CA67CE" w14:textId="0915FCF1" w:rsidR="006A73B7" w:rsidRPr="00E051D8" w:rsidRDefault="006A73B7" w:rsidP="00A81D19">
            <w:pPr>
              <w:autoSpaceDE w:val="0"/>
              <w:autoSpaceDN w:val="0"/>
              <w:spacing w:line="360" w:lineRule="auto"/>
              <w:rPr>
                <w:sz w:val="22"/>
                <w:szCs w:val="22"/>
              </w:rPr>
            </w:pPr>
            <w:r w:rsidRPr="00E051D8">
              <w:rPr>
                <w:sz w:val="22"/>
                <w:szCs w:val="22"/>
              </w:rPr>
              <w:t>Criteri</w:t>
            </w:r>
            <w:r>
              <w:rPr>
                <w:sz w:val="22"/>
                <w:szCs w:val="22"/>
              </w:rPr>
              <w:t>on</w:t>
            </w:r>
            <w:r w:rsidRPr="00E051D8">
              <w:rPr>
                <w:sz w:val="22"/>
                <w:szCs w:val="22"/>
              </w:rPr>
              <w:t xml:space="preserve"> </w:t>
            </w:r>
            <w:r>
              <w:rPr>
                <w:sz w:val="22"/>
                <w:szCs w:val="22"/>
              </w:rPr>
              <w:t>2</w:t>
            </w:r>
            <w:r w:rsidR="00A576ED">
              <w:rPr>
                <w:sz w:val="22"/>
                <w:szCs w:val="22"/>
              </w:rPr>
              <w:t>:</w:t>
            </w:r>
            <w:r w:rsidRPr="00E051D8">
              <w:rPr>
                <w:sz w:val="22"/>
                <w:szCs w:val="22"/>
              </w:rPr>
              <w:t xml:space="preserve"> </w:t>
            </w:r>
            <w:r w:rsidR="00A576ED">
              <w:rPr>
                <w:sz w:val="22"/>
                <w:szCs w:val="22"/>
              </w:rPr>
              <w:t xml:space="preserve">Quality of work plan and methodology: </w:t>
            </w:r>
            <w:r w:rsidRPr="00E051D8">
              <w:rPr>
                <w:sz w:val="22"/>
                <w:szCs w:val="22"/>
              </w:rPr>
              <w:t>the scope of work, Methodology &amp; Approach</w:t>
            </w:r>
            <w:r w:rsidR="00A576ED">
              <w:rPr>
                <w:sz w:val="22"/>
                <w:szCs w:val="22"/>
              </w:rPr>
              <w:t xml:space="preserve">, robust and coherent work plan. </w:t>
            </w:r>
            <w:r w:rsidRPr="00E051D8">
              <w:rPr>
                <w:sz w:val="22"/>
                <w:szCs w:val="22"/>
              </w:rPr>
              <w:t xml:space="preserve"> </w:t>
            </w:r>
          </w:p>
        </w:tc>
        <w:tc>
          <w:tcPr>
            <w:tcW w:w="2088" w:type="dxa"/>
            <w:shd w:val="clear" w:color="auto" w:fill="D9D9D9"/>
          </w:tcPr>
          <w:p w14:paraId="0FFD0BC7" w14:textId="77777777" w:rsidR="006A73B7" w:rsidRPr="00E051D8" w:rsidRDefault="006A73B7" w:rsidP="002340BA">
            <w:pPr>
              <w:autoSpaceDE w:val="0"/>
              <w:autoSpaceDN w:val="0"/>
              <w:spacing w:line="360" w:lineRule="auto"/>
              <w:jc w:val="center"/>
              <w:rPr>
                <w:sz w:val="22"/>
                <w:szCs w:val="22"/>
              </w:rPr>
            </w:pPr>
            <w:r>
              <w:rPr>
                <w:sz w:val="22"/>
                <w:szCs w:val="22"/>
              </w:rPr>
              <w:t>30%</w:t>
            </w:r>
          </w:p>
        </w:tc>
      </w:tr>
      <w:tr w:rsidR="00A576ED" w:rsidRPr="00E051D8" w14:paraId="1D26C5B6" w14:textId="77777777" w:rsidTr="002340BA">
        <w:trPr>
          <w:trHeight w:val="274"/>
        </w:trPr>
        <w:tc>
          <w:tcPr>
            <w:tcW w:w="6696" w:type="dxa"/>
          </w:tcPr>
          <w:p w14:paraId="5853ACAA" w14:textId="76DE6597" w:rsidR="00A576ED" w:rsidRPr="00E051D8" w:rsidRDefault="00A576ED" w:rsidP="00A576ED">
            <w:pPr>
              <w:autoSpaceDE w:val="0"/>
              <w:autoSpaceDN w:val="0"/>
              <w:spacing w:line="360" w:lineRule="auto"/>
              <w:rPr>
                <w:sz w:val="22"/>
                <w:szCs w:val="22"/>
              </w:rPr>
            </w:pPr>
            <w:r>
              <w:rPr>
                <w:sz w:val="22"/>
                <w:szCs w:val="22"/>
              </w:rPr>
              <w:t xml:space="preserve">Criterion 3: A appropriate budget plan that is coherent and matches the work plan. </w:t>
            </w:r>
          </w:p>
        </w:tc>
        <w:tc>
          <w:tcPr>
            <w:tcW w:w="2088" w:type="dxa"/>
            <w:shd w:val="clear" w:color="auto" w:fill="D9D9D9"/>
          </w:tcPr>
          <w:p w14:paraId="1D13D6DE" w14:textId="22C708AE" w:rsidR="00A576ED" w:rsidRDefault="00A576ED" w:rsidP="002340BA">
            <w:pPr>
              <w:autoSpaceDE w:val="0"/>
              <w:autoSpaceDN w:val="0"/>
              <w:spacing w:line="360" w:lineRule="auto"/>
              <w:jc w:val="center"/>
              <w:rPr>
                <w:sz w:val="22"/>
                <w:szCs w:val="22"/>
              </w:rPr>
            </w:pPr>
            <w:r>
              <w:rPr>
                <w:sz w:val="22"/>
                <w:szCs w:val="22"/>
              </w:rPr>
              <w:t>10%</w:t>
            </w:r>
          </w:p>
        </w:tc>
      </w:tr>
    </w:tbl>
    <w:p w14:paraId="0C0CE5E4" w14:textId="77777777" w:rsidR="005C7436" w:rsidRPr="00E051D8" w:rsidRDefault="005C7436" w:rsidP="005C7436">
      <w:pPr>
        <w:pStyle w:val="ListParagraph"/>
        <w:ind w:left="753"/>
        <w:rPr>
          <w:rFonts w:eastAsia="SimSun"/>
          <w:b/>
          <w:szCs w:val="22"/>
        </w:rPr>
      </w:pPr>
      <w:bookmarkStart w:id="3" w:name="_Toc45792509"/>
    </w:p>
    <w:bookmarkEnd w:id="3"/>
    <w:p w14:paraId="2A69E1CC" w14:textId="77777777" w:rsidR="005C7436" w:rsidRPr="00E051D8" w:rsidRDefault="005C7436" w:rsidP="005C7436">
      <w:pPr>
        <w:overflowPunct/>
        <w:adjustRightInd/>
        <w:spacing w:before="12" w:line="360" w:lineRule="auto"/>
        <w:jc w:val="both"/>
        <w:rPr>
          <w:sz w:val="22"/>
          <w:szCs w:val="22"/>
        </w:rPr>
      </w:pPr>
    </w:p>
    <w:p w14:paraId="3B082A39" w14:textId="6B443CAE" w:rsidR="005C7436" w:rsidRPr="00E051D8" w:rsidRDefault="006B1AC2" w:rsidP="005C7436">
      <w:pPr>
        <w:shd w:val="clear" w:color="auto" w:fill="92D050"/>
        <w:spacing w:line="360" w:lineRule="auto"/>
        <w:rPr>
          <w:b/>
          <w:sz w:val="22"/>
          <w:szCs w:val="22"/>
        </w:rPr>
      </w:pPr>
      <w:r>
        <w:rPr>
          <w:b/>
          <w:sz w:val="22"/>
          <w:szCs w:val="22"/>
        </w:rPr>
        <w:t>X</w:t>
      </w:r>
      <w:r w:rsidR="001406B2">
        <w:rPr>
          <w:b/>
          <w:sz w:val="22"/>
          <w:szCs w:val="22"/>
        </w:rPr>
        <w:t xml:space="preserve">I. </w:t>
      </w:r>
      <w:r w:rsidR="005C7436" w:rsidRPr="00E051D8">
        <w:rPr>
          <w:b/>
          <w:sz w:val="22"/>
          <w:szCs w:val="22"/>
        </w:rPr>
        <w:t xml:space="preserve"> Logistical Support</w:t>
      </w:r>
    </w:p>
    <w:p w14:paraId="4348A1C0" w14:textId="77777777" w:rsidR="005C7436" w:rsidRPr="00E051D8" w:rsidRDefault="005C7436" w:rsidP="005C7436">
      <w:pPr>
        <w:spacing w:before="12" w:line="360" w:lineRule="auto"/>
        <w:jc w:val="both"/>
        <w:rPr>
          <w:rFonts w:eastAsia="Tahoma"/>
          <w:sz w:val="22"/>
          <w:szCs w:val="22"/>
        </w:rPr>
      </w:pPr>
      <w:r w:rsidRPr="00E051D8">
        <w:rPr>
          <w:rFonts w:eastAsia="Tahoma"/>
          <w:sz w:val="22"/>
          <w:szCs w:val="22"/>
        </w:rPr>
        <w:t>Access to the key stakeholders and arrangement of validation workshop and associated costs will be facilitated and managed by EFCCC.</w:t>
      </w:r>
    </w:p>
    <w:p w14:paraId="547222CF" w14:textId="77777777" w:rsidR="005C7436" w:rsidRPr="00E051D8" w:rsidRDefault="005C7436" w:rsidP="005C7436">
      <w:pPr>
        <w:widowControl/>
        <w:overflowPunct/>
        <w:adjustRightInd/>
        <w:spacing w:line="360" w:lineRule="auto"/>
        <w:jc w:val="both"/>
        <w:rPr>
          <w:kern w:val="0"/>
          <w:sz w:val="22"/>
          <w:szCs w:val="22"/>
        </w:rPr>
      </w:pPr>
    </w:p>
    <w:p w14:paraId="39AE33CB" w14:textId="1F67B50E" w:rsidR="005C7436" w:rsidRPr="00E051D8" w:rsidRDefault="006B1AC2" w:rsidP="005C7436">
      <w:pPr>
        <w:shd w:val="clear" w:color="auto" w:fill="92D050"/>
        <w:spacing w:line="360" w:lineRule="auto"/>
        <w:rPr>
          <w:b/>
          <w:sz w:val="22"/>
          <w:szCs w:val="22"/>
        </w:rPr>
      </w:pPr>
      <w:r>
        <w:rPr>
          <w:b/>
          <w:sz w:val="22"/>
          <w:szCs w:val="22"/>
        </w:rPr>
        <w:t>XII</w:t>
      </w:r>
      <w:r w:rsidR="005C7436" w:rsidRPr="00E051D8">
        <w:rPr>
          <w:b/>
          <w:sz w:val="22"/>
          <w:szCs w:val="22"/>
        </w:rPr>
        <w:t xml:space="preserve">. Submission of Application </w:t>
      </w:r>
    </w:p>
    <w:p w14:paraId="6B05CF5B" w14:textId="77777777" w:rsidR="005C7436" w:rsidRPr="00E051D8" w:rsidRDefault="005C7436" w:rsidP="005C7436">
      <w:pPr>
        <w:spacing w:line="360" w:lineRule="auto"/>
        <w:jc w:val="both"/>
        <w:rPr>
          <w:sz w:val="22"/>
          <w:szCs w:val="22"/>
        </w:rPr>
      </w:pPr>
    </w:p>
    <w:p w14:paraId="58F0C361" w14:textId="426C1CD0" w:rsidR="00635F43" w:rsidRPr="005E2E73" w:rsidRDefault="00635F43" w:rsidP="00635F43">
      <w:pPr>
        <w:jc w:val="both"/>
        <w:rPr>
          <w:rFonts w:cs="Calibri"/>
        </w:rPr>
      </w:pPr>
      <w:r w:rsidRPr="005E2E73">
        <w:rPr>
          <w:rFonts w:cs="Calibri"/>
        </w:rPr>
        <w:lastRenderedPageBreak/>
        <w:t xml:space="preserve">Interested consultants are requested to submit their applications </w:t>
      </w:r>
      <w:r w:rsidR="00A576ED">
        <w:rPr>
          <w:rFonts w:cs="Calibri"/>
        </w:rPr>
        <w:t>by</w:t>
      </w:r>
      <w:r w:rsidR="00A576ED" w:rsidRPr="005E2E73">
        <w:rPr>
          <w:rFonts w:cs="Calibri"/>
        </w:rPr>
        <w:t xml:space="preserve"> </w:t>
      </w:r>
      <w:r w:rsidR="00AF2AA6">
        <w:rPr>
          <w:color w:val="FF0000"/>
          <w:sz w:val="22"/>
          <w:szCs w:val="22"/>
        </w:rPr>
        <w:t>1</w:t>
      </w:r>
      <w:r w:rsidRPr="00A37853">
        <w:rPr>
          <w:color w:val="FF0000"/>
          <w:sz w:val="22"/>
          <w:szCs w:val="22"/>
        </w:rPr>
        <w:t>/</w:t>
      </w:r>
      <w:r w:rsidR="00AF2AA6">
        <w:rPr>
          <w:color w:val="FF0000"/>
          <w:sz w:val="22"/>
          <w:szCs w:val="22"/>
        </w:rPr>
        <w:t>07</w:t>
      </w:r>
      <w:r w:rsidRPr="00A37853">
        <w:rPr>
          <w:color w:val="FF0000"/>
          <w:sz w:val="22"/>
          <w:szCs w:val="22"/>
        </w:rPr>
        <w:t>/</w:t>
      </w:r>
      <w:r w:rsidR="00A37853" w:rsidRPr="00A37853">
        <w:rPr>
          <w:color w:val="FF0000"/>
          <w:sz w:val="22"/>
          <w:szCs w:val="22"/>
        </w:rPr>
        <w:t>202</w:t>
      </w:r>
      <w:r w:rsidR="00A37853">
        <w:rPr>
          <w:color w:val="FF0000"/>
          <w:sz w:val="22"/>
          <w:szCs w:val="22"/>
        </w:rPr>
        <w:t>1</w:t>
      </w:r>
      <w:r w:rsidR="00A37853" w:rsidRPr="00A37853">
        <w:rPr>
          <w:color w:val="FF0000"/>
          <w:sz w:val="22"/>
          <w:szCs w:val="22"/>
        </w:rPr>
        <w:t xml:space="preserve"> </w:t>
      </w:r>
      <w:r w:rsidRPr="005E2E73">
        <w:rPr>
          <w:rFonts w:cs="Calibri"/>
        </w:rPr>
        <w:t xml:space="preserve">using the following </w:t>
      </w:r>
      <w:r w:rsidR="00A37853">
        <w:rPr>
          <w:rFonts w:cs="Calibri"/>
        </w:rPr>
        <w:t xml:space="preserve">e-mail </w:t>
      </w:r>
      <w:r w:rsidRPr="005E2E73">
        <w:rPr>
          <w:rFonts w:cs="Calibri"/>
        </w:rPr>
        <w:t xml:space="preserve">address. </w:t>
      </w:r>
    </w:p>
    <w:p w14:paraId="27843AAE" w14:textId="77777777" w:rsidR="00A37853" w:rsidRDefault="00A37853" w:rsidP="00635F43">
      <w:pPr>
        <w:jc w:val="center"/>
        <w:rPr>
          <w:rFonts w:cs="Calibri"/>
          <w:b/>
          <w:i/>
        </w:rPr>
      </w:pPr>
    </w:p>
    <w:p w14:paraId="52007F9D" w14:textId="2CF9B8C3" w:rsidR="00635F43" w:rsidRDefault="00A37853" w:rsidP="006A73B7">
      <w:pPr>
        <w:rPr>
          <w:lang w:eastAsia="zh-CN"/>
        </w:rPr>
      </w:pPr>
      <w:r w:rsidRPr="00F224A2">
        <w:rPr>
          <w:rFonts w:cs="Calibri"/>
        </w:rPr>
        <w:t xml:space="preserve">E-mail at the UNEP DTU Partnership: </w:t>
      </w:r>
      <w:hyperlink r:id="rId11" w:history="1">
        <w:r w:rsidR="00F224A2" w:rsidRPr="00117A70">
          <w:rPr>
            <w:rStyle w:val="Hyperlink"/>
            <w:lang w:eastAsia="zh-CN"/>
          </w:rPr>
          <w:t>merped@dtu.dk</w:t>
        </w:r>
      </w:hyperlink>
    </w:p>
    <w:p w14:paraId="044A35E0" w14:textId="735D409C" w:rsidR="00F224A2" w:rsidRPr="005E2E73" w:rsidRDefault="00F224A2" w:rsidP="006A73B7">
      <w:pPr>
        <w:rPr>
          <w:rFonts w:ascii="Calibri" w:hAnsi="Calibri" w:cs="Calibri"/>
          <w:sz w:val="23"/>
          <w:szCs w:val="23"/>
        </w:rPr>
      </w:pPr>
      <w:r w:rsidRPr="00F224A2">
        <w:rPr>
          <w:rFonts w:cs="Calibri"/>
        </w:rPr>
        <w:t xml:space="preserve">E-mail at EFCCC: </w:t>
      </w:r>
      <w:r w:rsidRPr="00F224A2">
        <w:rPr>
          <w:rFonts w:cs="Calibri"/>
        </w:rPr>
        <w:t>Benti Firdissa</w:t>
      </w:r>
      <w:r w:rsidRPr="00F224A2">
        <w:rPr>
          <w:rFonts w:cs="Calibri"/>
        </w:rPr>
        <w:t>:</w:t>
      </w:r>
      <w:r w:rsidRPr="00C12AC8">
        <w:rPr>
          <w:rFonts w:ascii="Arial" w:hAnsi="Arial" w:cs="Arial"/>
          <w:color w:val="3B3B3B"/>
        </w:rPr>
        <w:t xml:space="preserve"> </w:t>
      </w:r>
      <w:hyperlink r:id="rId12" w:history="1">
        <w:r w:rsidRPr="00C12AC8">
          <w:rPr>
            <w:rStyle w:val="Hyperlink"/>
            <w:rFonts w:ascii="Arial" w:hAnsi="Arial" w:cs="Arial"/>
          </w:rPr>
          <w:t>firdissabenti@yahoo.ca</w:t>
        </w:r>
      </w:hyperlink>
    </w:p>
    <w:p w14:paraId="782C7FFA" w14:textId="77777777" w:rsidR="00635F43" w:rsidRPr="005E2E73" w:rsidRDefault="00635F43" w:rsidP="00635F43">
      <w:pPr>
        <w:pStyle w:val="Default"/>
        <w:spacing w:line="276" w:lineRule="auto"/>
        <w:jc w:val="both"/>
        <w:rPr>
          <w:rFonts w:ascii="Calibri" w:hAnsi="Calibri" w:cs="Calibri"/>
          <w:color w:val="auto"/>
          <w:sz w:val="23"/>
          <w:szCs w:val="23"/>
        </w:rPr>
      </w:pPr>
    </w:p>
    <w:bookmarkEnd w:id="0"/>
    <w:bookmarkEnd w:id="2"/>
    <w:p w14:paraId="5E3680C5" w14:textId="77777777" w:rsidR="00E3094D" w:rsidRDefault="00E3094D"/>
    <w:sectPr w:rsidR="00E3094D" w:rsidSect="002B36D7">
      <w:footerReference w:type="default" r:id="rId13"/>
      <w:pgSz w:w="12240" w:h="15840"/>
      <w:pgMar w:top="72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EA96F" w14:textId="77777777" w:rsidR="007606A4" w:rsidRDefault="007606A4">
      <w:r>
        <w:separator/>
      </w:r>
    </w:p>
  </w:endnote>
  <w:endnote w:type="continuationSeparator" w:id="0">
    <w:p w14:paraId="3838D1B7" w14:textId="77777777" w:rsidR="007606A4" w:rsidRDefault="0076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F21E" w14:textId="3FE0C934" w:rsidR="002C71FF" w:rsidRPr="00FA07EE" w:rsidRDefault="002C71FF" w:rsidP="002B36D7">
    <w:pPr>
      <w:pStyle w:val="Footer"/>
      <w:pBdr>
        <w:top w:val="single" w:sz="4" w:space="1" w:color="auto"/>
      </w:pBdr>
      <w:jc w:val="right"/>
      <w:rPr>
        <w:b/>
        <w:i/>
        <w:sz w:val="20"/>
        <w:szCs w:val="20"/>
      </w:rPr>
    </w:pPr>
    <w:r w:rsidRPr="00FA07EE">
      <w:rPr>
        <w:b/>
        <w:i/>
        <w:sz w:val="20"/>
        <w:szCs w:val="20"/>
      </w:rPr>
      <w:t xml:space="preserve">Page </w:t>
    </w:r>
    <w:r w:rsidRPr="00FA07EE">
      <w:rPr>
        <w:b/>
        <w:bCs/>
        <w:i/>
        <w:sz w:val="20"/>
        <w:szCs w:val="20"/>
      </w:rPr>
      <w:fldChar w:fldCharType="begin"/>
    </w:r>
    <w:r w:rsidRPr="00FA07EE">
      <w:rPr>
        <w:b/>
        <w:bCs/>
        <w:i/>
        <w:sz w:val="20"/>
        <w:szCs w:val="20"/>
      </w:rPr>
      <w:instrText xml:space="preserve"> PAGE </w:instrText>
    </w:r>
    <w:r w:rsidRPr="00FA07EE">
      <w:rPr>
        <w:b/>
        <w:bCs/>
        <w:i/>
        <w:sz w:val="20"/>
        <w:szCs w:val="20"/>
      </w:rPr>
      <w:fldChar w:fldCharType="separate"/>
    </w:r>
    <w:r w:rsidR="00925022">
      <w:rPr>
        <w:b/>
        <w:bCs/>
        <w:i/>
        <w:noProof/>
        <w:sz w:val="20"/>
        <w:szCs w:val="20"/>
      </w:rPr>
      <w:t>6</w:t>
    </w:r>
    <w:r w:rsidRPr="00FA07EE">
      <w:rPr>
        <w:b/>
        <w:bCs/>
        <w:i/>
        <w:sz w:val="20"/>
        <w:szCs w:val="20"/>
      </w:rPr>
      <w:fldChar w:fldCharType="end"/>
    </w:r>
    <w:r w:rsidRPr="00FA07EE">
      <w:rPr>
        <w:b/>
        <w:i/>
        <w:sz w:val="20"/>
        <w:szCs w:val="20"/>
      </w:rPr>
      <w:t xml:space="preserve"> of </w:t>
    </w:r>
    <w:r w:rsidRPr="00FA07EE">
      <w:rPr>
        <w:b/>
        <w:bCs/>
        <w:i/>
        <w:sz w:val="20"/>
        <w:szCs w:val="20"/>
      </w:rPr>
      <w:fldChar w:fldCharType="begin"/>
    </w:r>
    <w:r w:rsidRPr="00FA07EE">
      <w:rPr>
        <w:b/>
        <w:bCs/>
        <w:i/>
        <w:sz w:val="20"/>
        <w:szCs w:val="20"/>
      </w:rPr>
      <w:instrText xml:space="preserve"> NUMPAGES  </w:instrText>
    </w:r>
    <w:r w:rsidRPr="00FA07EE">
      <w:rPr>
        <w:b/>
        <w:bCs/>
        <w:i/>
        <w:sz w:val="20"/>
        <w:szCs w:val="20"/>
      </w:rPr>
      <w:fldChar w:fldCharType="separate"/>
    </w:r>
    <w:r w:rsidR="00925022">
      <w:rPr>
        <w:b/>
        <w:bCs/>
        <w:i/>
        <w:noProof/>
        <w:sz w:val="20"/>
        <w:szCs w:val="20"/>
      </w:rPr>
      <w:t>8</w:t>
    </w:r>
    <w:r w:rsidRPr="00FA07EE">
      <w:rPr>
        <w:b/>
        <w:bCs/>
        <w:i/>
        <w:sz w:val="20"/>
        <w:szCs w:val="20"/>
      </w:rPr>
      <w:fldChar w:fldCharType="end"/>
    </w:r>
  </w:p>
  <w:p w14:paraId="01633554" w14:textId="77777777" w:rsidR="002C71FF" w:rsidRDefault="002C7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241C8" w14:textId="77777777" w:rsidR="007606A4" w:rsidRDefault="007606A4">
      <w:r>
        <w:separator/>
      </w:r>
    </w:p>
  </w:footnote>
  <w:footnote w:type="continuationSeparator" w:id="0">
    <w:p w14:paraId="5744BDC4" w14:textId="77777777" w:rsidR="007606A4" w:rsidRDefault="007606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443"/>
    <w:multiLevelType w:val="hybridMultilevel"/>
    <w:tmpl w:val="CBBC5E76"/>
    <w:lvl w:ilvl="0" w:tplc="564ADAB0">
      <w:start w:val="1"/>
      <w:numFmt w:val="upperLetter"/>
      <w:lvlText w:val="%1."/>
      <w:lvlJc w:val="left"/>
      <w:pPr>
        <w:tabs>
          <w:tab w:val="num" w:pos="786"/>
        </w:tabs>
        <w:ind w:left="786" w:hanging="360"/>
      </w:pPr>
      <w:rPr>
        <w:b/>
      </w:rPr>
    </w:lvl>
    <w:lvl w:ilvl="1" w:tplc="000026A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01F"/>
    <w:multiLevelType w:val="hybridMultilevel"/>
    <w:tmpl w:val="00005D03"/>
    <w:lvl w:ilvl="0" w:tplc="00007A5A">
      <w:start w:val="2"/>
      <w:numFmt w:val="upperLetter"/>
      <w:lvlText w:val="%1."/>
      <w:lvlJc w:val="left"/>
      <w:pPr>
        <w:tabs>
          <w:tab w:val="num" w:pos="720"/>
        </w:tabs>
        <w:ind w:left="720" w:hanging="360"/>
      </w:pPr>
    </w:lvl>
    <w:lvl w:ilvl="1" w:tplc="0000767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C6CA4"/>
    <w:multiLevelType w:val="hybridMultilevel"/>
    <w:tmpl w:val="2FF6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DE7FD3"/>
    <w:multiLevelType w:val="hybridMultilevel"/>
    <w:tmpl w:val="C54A3A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D7449E"/>
    <w:multiLevelType w:val="hybridMultilevel"/>
    <w:tmpl w:val="2EDAD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B5DD6"/>
    <w:multiLevelType w:val="hybridMultilevel"/>
    <w:tmpl w:val="2976F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D54665"/>
    <w:multiLevelType w:val="hybridMultilevel"/>
    <w:tmpl w:val="A49EF56A"/>
    <w:lvl w:ilvl="0" w:tplc="9E162A30">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293529"/>
    <w:multiLevelType w:val="hybridMultilevel"/>
    <w:tmpl w:val="427E3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C32845"/>
    <w:multiLevelType w:val="hybridMultilevel"/>
    <w:tmpl w:val="CC76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580B3F"/>
    <w:multiLevelType w:val="hybridMultilevel"/>
    <w:tmpl w:val="3BEA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B66A6E"/>
    <w:multiLevelType w:val="hybridMultilevel"/>
    <w:tmpl w:val="7236F544"/>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4F52A8"/>
    <w:multiLevelType w:val="hybridMultilevel"/>
    <w:tmpl w:val="9AE84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14ECE"/>
    <w:multiLevelType w:val="hybridMultilevel"/>
    <w:tmpl w:val="DC4C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014537"/>
    <w:multiLevelType w:val="hybridMultilevel"/>
    <w:tmpl w:val="43F47884"/>
    <w:lvl w:ilvl="0" w:tplc="0B6CA458">
      <w:start w:val="1"/>
      <w:numFmt w:val="bullet"/>
      <w:lvlText w:val=""/>
      <w:lvlJc w:val="left"/>
      <w:pPr>
        <w:ind w:left="753"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50498"/>
    <w:multiLevelType w:val="hybridMultilevel"/>
    <w:tmpl w:val="44B675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A33AB3"/>
    <w:multiLevelType w:val="hybridMultilevel"/>
    <w:tmpl w:val="5AFE4A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3162FE"/>
    <w:multiLevelType w:val="hybridMultilevel"/>
    <w:tmpl w:val="C44E7666"/>
    <w:lvl w:ilvl="0" w:tplc="A4C21B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1"/>
  </w:num>
  <w:num w:numId="5">
    <w:abstractNumId w:val="8"/>
  </w:num>
  <w:num w:numId="6">
    <w:abstractNumId w:val="10"/>
  </w:num>
  <w:num w:numId="7">
    <w:abstractNumId w:val="0"/>
  </w:num>
  <w:num w:numId="8">
    <w:abstractNumId w:val="1"/>
  </w:num>
  <w:num w:numId="9">
    <w:abstractNumId w:val="13"/>
  </w:num>
  <w:num w:numId="10">
    <w:abstractNumId w:val="9"/>
  </w:num>
  <w:num w:numId="11">
    <w:abstractNumId w:val="7"/>
  </w:num>
  <w:num w:numId="12">
    <w:abstractNumId w:val="14"/>
  </w:num>
  <w:num w:numId="13">
    <w:abstractNumId w:val="3"/>
  </w:num>
  <w:num w:numId="14">
    <w:abstractNumId w:val="5"/>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O1NDQxNjM2NTE3NrJU0lEKTi0uzszPAykwrwUAkGRVwiwAAAA="/>
  </w:docVars>
  <w:rsids>
    <w:rsidRoot w:val="005C7436"/>
    <w:rsid w:val="000027E0"/>
    <w:rsid w:val="00032B6D"/>
    <w:rsid w:val="000645B7"/>
    <w:rsid w:val="00065133"/>
    <w:rsid w:val="000A141F"/>
    <w:rsid w:val="000F00D6"/>
    <w:rsid w:val="000F6C60"/>
    <w:rsid w:val="001406B2"/>
    <w:rsid w:val="00155CCB"/>
    <w:rsid w:val="001612FD"/>
    <w:rsid w:val="00195345"/>
    <w:rsid w:val="0019632C"/>
    <w:rsid w:val="001B01E9"/>
    <w:rsid w:val="001C0876"/>
    <w:rsid w:val="002304A2"/>
    <w:rsid w:val="00250DE2"/>
    <w:rsid w:val="00266E5E"/>
    <w:rsid w:val="002861B3"/>
    <w:rsid w:val="00296168"/>
    <w:rsid w:val="002B36D7"/>
    <w:rsid w:val="002B53AB"/>
    <w:rsid w:val="002C1335"/>
    <w:rsid w:val="002C5E36"/>
    <w:rsid w:val="002C71FF"/>
    <w:rsid w:val="00334091"/>
    <w:rsid w:val="003C3DCB"/>
    <w:rsid w:val="003C77E8"/>
    <w:rsid w:val="003D78A6"/>
    <w:rsid w:val="0040313B"/>
    <w:rsid w:val="004075D6"/>
    <w:rsid w:val="0042133F"/>
    <w:rsid w:val="004217A9"/>
    <w:rsid w:val="004806E0"/>
    <w:rsid w:val="0049496B"/>
    <w:rsid w:val="0051349B"/>
    <w:rsid w:val="00545230"/>
    <w:rsid w:val="005710B5"/>
    <w:rsid w:val="005B1DD4"/>
    <w:rsid w:val="005C7436"/>
    <w:rsid w:val="005D21EA"/>
    <w:rsid w:val="005E6046"/>
    <w:rsid w:val="00632B35"/>
    <w:rsid w:val="00635F43"/>
    <w:rsid w:val="00642A74"/>
    <w:rsid w:val="006459B2"/>
    <w:rsid w:val="006476D5"/>
    <w:rsid w:val="00682A65"/>
    <w:rsid w:val="00687A19"/>
    <w:rsid w:val="006A0306"/>
    <w:rsid w:val="006A4FA7"/>
    <w:rsid w:val="006A73B7"/>
    <w:rsid w:val="006B1AC2"/>
    <w:rsid w:val="006C5614"/>
    <w:rsid w:val="006C7161"/>
    <w:rsid w:val="006D38CB"/>
    <w:rsid w:val="006E126D"/>
    <w:rsid w:val="007138C1"/>
    <w:rsid w:val="00721A82"/>
    <w:rsid w:val="0075121A"/>
    <w:rsid w:val="007569D4"/>
    <w:rsid w:val="007606A4"/>
    <w:rsid w:val="00777A4F"/>
    <w:rsid w:val="007A4888"/>
    <w:rsid w:val="007B3F96"/>
    <w:rsid w:val="007C0AD0"/>
    <w:rsid w:val="007C219A"/>
    <w:rsid w:val="007E3F9C"/>
    <w:rsid w:val="007F0A78"/>
    <w:rsid w:val="00800B66"/>
    <w:rsid w:val="00810E00"/>
    <w:rsid w:val="00827CA6"/>
    <w:rsid w:val="008B30BA"/>
    <w:rsid w:val="008B5397"/>
    <w:rsid w:val="008C3B19"/>
    <w:rsid w:val="008C3EBA"/>
    <w:rsid w:val="008C530B"/>
    <w:rsid w:val="008F0E8F"/>
    <w:rsid w:val="00900B80"/>
    <w:rsid w:val="00922B53"/>
    <w:rsid w:val="00924A80"/>
    <w:rsid w:val="00925022"/>
    <w:rsid w:val="009278C6"/>
    <w:rsid w:val="0094534F"/>
    <w:rsid w:val="00985395"/>
    <w:rsid w:val="00993BEB"/>
    <w:rsid w:val="009B6485"/>
    <w:rsid w:val="009B6E15"/>
    <w:rsid w:val="009C41F9"/>
    <w:rsid w:val="009D0899"/>
    <w:rsid w:val="009D4E55"/>
    <w:rsid w:val="00A04723"/>
    <w:rsid w:val="00A171BA"/>
    <w:rsid w:val="00A37037"/>
    <w:rsid w:val="00A37853"/>
    <w:rsid w:val="00A537C3"/>
    <w:rsid w:val="00A576ED"/>
    <w:rsid w:val="00A81D19"/>
    <w:rsid w:val="00A92058"/>
    <w:rsid w:val="00A936C9"/>
    <w:rsid w:val="00AA264C"/>
    <w:rsid w:val="00AC3E8F"/>
    <w:rsid w:val="00AE0DA3"/>
    <w:rsid w:val="00AF0499"/>
    <w:rsid w:val="00AF2AA6"/>
    <w:rsid w:val="00AF3498"/>
    <w:rsid w:val="00B0182A"/>
    <w:rsid w:val="00B42428"/>
    <w:rsid w:val="00B44CFA"/>
    <w:rsid w:val="00B55B16"/>
    <w:rsid w:val="00B8018E"/>
    <w:rsid w:val="00B8233C"/>
    <w:rsid w:val="00B84053"/>
    <w:rsid w:val="00BB1D8E"/>
    <w:rsid w:val="00BC5584"/>
    <w:rsid w:val="00BD4DCC"/>
    <w:rsid w:val="00C05F0C"/>
    <w:rsid w:val="00C9254F"/>
    <w:rsid w:val="00CC00A7"/>
    <w:rsid w:val="00CC7C91"/>
    <w:rsid w:val="00CE30C9"/>
    <w:rsid w:val="00CF402A"/>
    <w:rsid w:val="00CF5069"/>
    <w:rsid w:val="00D1669A"/>
    <w:rsid w:val="00D321B4"/>
    <w:rsid w:val="00D539D3"/>
    <w:rsid w:val="00D57E31"/>
    <w:rsid w:val="00D726F0"/>
    <w:rsid w:val="00D95D7F"/>
    <w:rsid w:val="00DA61F5"/>
    <w:rsid w:val="00DB029F"/>
    <w:rsid w:val="00DB63FE"/>
    <w:rsid w:val="00DC2C82"/>
    <w:rsid w:val="00DC39C5"/>
    <w:rsid w:val="00E06B8D"/>
    <w:rsid w:val="00E3094D"/>
    <w:rsid w:val="00E37E04"/>
    <w:rsid w:val="00E94A52"/>
    <w:rsid w:val="00E94F41"/>
    <w:rsid w:val="00EB6277"/>
    <w:rsid w:val="00EB6491"/>
    <w:rsid w:val="00EC418D"/>
    <w:rsid w:val="00EC583C"/>
    <w:rsid w:val="00EF37ED"/>
    <w:rsid w:val="00F02798"/>
    <w:rsid w:val="00F05839"/>
    <w:rsid w:val="00F224A2"/>
    <w:rsid w:val="00F307F4"/>
    <w:rsid w:val="00F530A4"/>
    <w:rsid w:val="00F60AC8"/>
    <w:rsid w:val="00FA2E64"/>
    <w:rsid w:val="00FD5831"/>
    <w:rsid w:val="00FE3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948C5"/>
  <w15:docId w15:val="{F89D3253-8B24-42E5-BFFF-B749F4D9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436"/>
    <w:pPr>
      <w:widowControl w:val="0"/>
      <w:overflowPunct w:val="0"/>
      <w:adjustRightInd w:val="0"/>
      <w:spacing w:after="0" w:line="240" w:lineRule="auto"/>
    </w:pPr>
    <w:rPr>
      <w:rFonts w:ascii="Times New Roman" w:eastAsia="Times New Roman" w:hAnsi="Times New Roman" w:cs="Times New Roman"/>
      <w:kern w:val="28"/>
      <w:sz w:val="24"/>
      <w:szCs w:val="24"/>
    </w:rPr>
  </w:style>
  <w:style w:type="paragraph" w:styleId="Heading1">
    <w:name w:val="heading 1"/>
    <w:basedOn w:val="Normal"/>
    <w:link w:val="Heading1Char"/>
    <w:uiPriority w:val="9"/>
    <w:qFormat/>
    <w:rsid w:val="00CC00A7"/>
    <w:pPr>
      <w:widowControl/>
      <w:overflowPunct/>
      <w:adjustRightInd/>
      <w:spacing w:before="100" w:beforeAutospacing="1" w:after="100" w:afterAutospacing="1"/>
      <w:outlineLvl w:val="0"/>
    </w:pPr>
    <w:rPr>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5C7436"/>
    <w:pPr>
      <w:spacing w:after="120"/>
    </w:pPr>
    <w:rPr>
      <w:rFonts w:ascii="Calibri" w:eastAsia="Calibri" w:hAnsi="Calibri"/>
      <w:b/>
      <w:color w:val="365F91"/>
      <w:kern w:val="0"/>
      <w:szCs w:val="22"/>
    </w:rPr>
  </w:style>
  <w:style w:type="character" w:customStyle="1" w:styleId="BodyTextChar">
    <w:name w:val="Body Text Char"/>
    <w:basedOn w:val="DefaultParagraphFont"/>
    <w:link w:val="BodyText"/>
    <w:uiPriority w:val="99"/>
    <w:rsid w:val="005C7436"/>
    <w:rPr>
      <w:rFonts w:ascii="Calibri" w:eastAsia="Calibri" w:hAnsi="Calibri" w:cs="Times New Roman"/>
      <w:b/>
      <w:color w:val="365F91"/>
      <w:sz w:val="24"/>
    </w:rPr>
  </w:style>
  <w:style w:type="paragraph" w:styleId="ListParagraph">
    <w:name w:val="List Paragraph"/>
    <w:aliases w:val="Bullets"/>
    <w:basedOn w:val="Normal"/>
    <w:uiPriority w:val="34"/>
    <w:qFormat/>
    <w:rsid w:val="005C7436"/>
    <w:pPr>
      <w:spacing w:line="360" w:lineRule="auto"/>
      <w:ind w:left="720"/>
      <w:contextualSpacing/>
    </w:pPr>
    <w:rPr>
      <w:sz w:val="22"/>
    </w:rPr>
  </w:style>
  <w:style w:type="paragraph" w:styleId="Footer">
    <w:name w:val="footer"/>
    <w:basedOn w:val="Normal"/>
    <w:link w:val="FooterChar"/>
    <w:uiPriority w:val="99"/>
    <w:unhideWhenUsed/>
    <w:rsid w:val="005C7436"/>
    <w:pPr>
      <w:tabs>
        <w:tab w:val="center" w:pos="4680"/>
        <w:tab w:val="right" w:pos="9360"/>
      </w:tabs>
    </w:pPr>
  </w:style>
  <w:style w:type="character" w:customStyle="1" w:styleId="FooterChar">
    <w:name w:val="Footer Char"/>
    <w:basedOn w:val="DefaultParagraphFont"/>
    <w:link w:val="Footer"/>
    <w:uiPriority w:val="99"/>
    <w:rsid w:val="005C7436"/>
    <w:rPr>
      <w:rFonts w:ascii="Times New Roman" w:eastAsia="Times New Roman" w:hAnsi="Times New Roman" w:cs="Times New Roman"/>
      <w:kern w:val="28"/>
      <w:sz w:val="24"/>
      <w:szCs w:val="24"/>
    </w:rPr>
  </w:style>
  <w:style w:type="paragraph" w:customStyle="1" w:styleId="ColorfulList-Accent11">
    <w:name w:val="Colorful List - Accent 11"/>
    <w:aliases w:val="List Paragraph1"/>
    <w:basedOn w:val="Normal"/>
    <w:link w:val="ColorfulList-Accent1Char"/>
    <w:uiPriority w:val="34"/>
    <w:qFormat/>
    <w:rsid w:val="005C7436"/>
    <w:pPr>
      <w:widowControl/>
      <w:overflowPunct/>
      <w:adjustRightInd/>
      <w:ind w:left="720"/>
    </w:pPr>
    <w:rPr>
      <w:kern w:val="0"/>
    </w:rPr>
  </w:style>
  <w:style w:type="character" w:customStyle="1" w:styleId="ColorfulList-Accent1Char">
    <w:name w:val="Colorful List - Accent 1 Char"/>
    <w:aliases w:val="List Paragraph1 Char"/>
    <w:link w:val="ColorfulList-Accent11"/>
    <w:uiPriority w:val="34"/>
    <w:rsid w:val="005C7436"/>
    <w:rPr>
      <w:rFonts w:ascii="Times New Roman" w:eastAsia="Times New Roman" w:hAnsi="Times New Roman" w:cs="Times New Roman"/>
      <w:sz w:val="24"/>
      <w:szCs w:val="24"/>
    </w:rPr>
  </w:style>
  <w:style w:type="paragraph" w:customStyle="1" w:styleId="t27">
    <w:name w:val="t27"/>
    <w:basedOn w:val="Normal"/>
    <w:rsid w:val="005C7436"/>
    <w:pPr>
      <w:overflowPunct/>
      <w:autoSpaceDE w:val="0"/>
      <w:autoSpaceDN w:val="0"/>
    </w:pPr>
    <w:rPr>
      <w:kern w:val="0"/>
    </w:rPr>
  </w:style>
  <w:style w:type="paragraph" w:customStyle="1" w:styleId="Default">
    <w:name w:val="Default"/>
    <w:link w:val="DefaultChar"/>
    <w:rsid w:val="005C743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character" w:customStyle="1" w:styleId="DefaultChar">
    <w:name w:val="Default Char"/>
    <w:link w:val="Default"/>
    <w:rsid w:val="005C7436"/>
    <w:rPr>
      <w:rFonts w:ascii="Times New Roman" w:eastAsia="Arial Unicode MS" w:hAnsi="Times New Roman" w:cs="Arial Unicode MS"/>
      <w:color w:val="000000"/>
      <w:sz w:val="24"/>
      <w:szCs w:val="24"/>
      <w:u w:color="000000"/>
      <w:bdr w:val="nil"/>
    </w:rPr>
  </w:style>
  <w:style w:type="paragraph" w:customStyle="1" w:styleId="Body">
    <w:name w:val="Body"/>
    <w:rsid w:val="005C7436"/>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BalloonText">
    <w:name w:val="Balloon Text"/>
    <w:basedOn w:val="Normal"/>
    <w:link w:val="BalloonTextChar"/>
    <w:uiPriority w:val="99"/>
    <w:semiHidden/>
    <w:unhideWhenUsed/>
    <w:rsid w:val="005C7436"/>
    <w:rPr>
      <w:rFonts w:ascii="Tahoma" w:hAnsi="Tahoma" w:cs="Tahoma"/>
      <w:sz w:val="16"/>
      <w:szCs w:val="16"/>
    </w:rPr>
  </w:style>
  <w:style w:type="character" w:customStyle="1" w:styleId="BalloonTextChar">
    <w:name w:val="Balloon Text Char"/>
    <w:basedOn w:val="DefaultParagraphFont"/>
    <w:link w:val="BalloonText"/>
    <w:uiPriority w:val="99"/>
    <w:semiHidden/>
    <w:rsid w:val="005C7436"/>
    <w:rPr>
      <w:rFonts w:ascii="Tahoma" w:eastAsia="Times New Roman" w:hAnsi="Tahoma" w:cs="Tahoma"/>
      <w:kern w:val="28"/>
      <w:sz w:val="16"/>
      <w:szCs w:val="16"/>
    </w:rPr>
  </w:style>
  <w:style w:type="character" w:styleId="CommentReference">
    <w:name w:val="annotation reference"/>
    <w:basedOn w:val="DefaultParagraphFont"/>
    <w:uiPriority w:val="99"/>
    <w:semiHidden/>
    <w:unhideWhenUsed/>
    <w:rsid w:val="002C5E36"/>
    <w:rPr>
      <w:sz w:val="16"/>
      <w:szCs w:val="16"/>
    </w:rPr>
  </w:style>
  <w:style w:type="paragraph" w:styleId="CommentText">
    <w:name w:val="annotation text"/>
    <w:basedOn w:val="Normal"/>
    <w:link w:val="CommentTextChar"/>
    <w:uiPriority w:val="99"/>
    <w:unhideWhenUsed/>
    <w:rsid w:val="002C5E36"/>
    <w:rPr>
      <w:sz w:val="20"/>
      <w:szCs w:val="20"/>
    </w:rPr>
  </w:style>
  <w:style w:type="character" w:customStyle="1" w:styleId="CommentTextChar">
    <w:name w:val="Comment Text Char"/>
    <w:basedOn w:val="DefaultParagraphFont"/>
    <w:link w:val="CommentText"/>
    <w:uiPriority w:val="99"/>
    <w:rsid w:val="002C5E36"/>
    <w:rPr>
      <w:rFonts w:ascii="Times New Roman" w:eastAsia="Times New Roman" w:hAnsi="Times New Roman" w:cs="Times New Roman"/>
      <w:kern w:val="28"/>
      <w:sz w:val="20"/>
      <w:szCs w:val="20"/>
    </w:rPr>
  </w:style>
  <w:style w:type="paragraph" w:styleId="CommentSubject">
    <w:name w:val="annotation subject"/>
    <w:basedOn w:val="CommentText"/>
    <w:next w:val="CommentText"/>
    <w:link w:val="CommentSubjectChar"/>
    <w:uiPriority w:val="99"/>
    <w:semiHidden/>
    <w:unhideWhenUsed/>
    <w:rsid w:val="002C5E36"/>
    <w:rPr>
      <w:b/>
      <w:bCs/>
    </w:rPr>
  </w:style>
  <w:style w:type="character" w:customStyle="1" w:styleId="CommentSubjectChar">
    <w:name w:val="Comment Subject Char"/>
    <w:basedOn w:val="CommentTextChar"/>
    <w:link w:val="CommentSubject"/>
    <w:uiPriority w:val="99"/>
    <w:semiHidden/>
    <w:rsid w:val="002C5E36"/>
    <w:rPr>
      <w:rFonts w:ascii="Times New Roman" w:eastAsia="Times New Roman" w:hAnsi="Times New Roman" w:cs="Times New Roman"/>
      <w:b/>
      <w:bCs/>
      <w:kern w:val="28"/>
      <w:sz w:val="20"/>
      <w:szCs w:val="20"/>
    </w:rPr>
  </w:style>
  <w:style w:type="character" w:customStyle="1" w:styleId="Heading1Char">
    <w:name w:val="Heading 1 Char"/>
    <w:basedOn w:val="DefaultParagraphFont"/>
    <w:link w:val="Heading1"/>
    <w:uiPriority w:val="9"/>
    <w:rsid w:val="00CC00A7"/>
    <w:rPr>
      <w:rFonts w:ascii="Times New Roman" w:eastAsia="Times New Roman" w:hAnsi="Times New Roman" w:cs="Times New Roman"/>
      <w:b/>
      <w:bCs/>
      <w:kern w:val="36"/>
      <w:sz w:val="48"/>
      <w:szCs w:val="48"/>
      <w:lang w:eastAsia="zh-CN"/>
    </w:rPr>
  </w:style>
  <w:style w:type="character" w:styleId="Hyperlink">
    <w:name w:val="Hyperlink"/>
    <w:basedOn w:val="DefaultParagraphFont"/>
    <w:uiPriority w:val="99"/>
    <w:unhideWhenUsed/>
    <w:rsid w:val="00F224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2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rdissabenti@yahoo.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ped@dtu.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94A97-8E6D-4F3B-A8F6-E1EDC7EBC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2640</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dc:creator>
  <cp:lastModifiedBy>Xianli Zhu</cp:lastModifiedBy>
  <cp:revision>7</cp:revision>
  <cp:lastPrinted>2021-04-02T06:30:00Z</cp:lastPrinted>
  <dcterms:created xsi:type="dcterms:W3CDTF">2021-06-16T13:55:00Z</dcterms:created>
  <dcterms:modified xsi:type="dcterms:W3CDTF">2021-06-16T13:59:00Z</dcterms:modified>
</cp:coreProperties>
</file>