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CFF96" w14:textId="7AF52CCB" w:rsidR="0095403E" w:rsidRPr="0095403E" w:rsidRDefault="0095403E" w:rsidP="0095403E">
      <w:pPr>
        <w:pStyle w:val="Title"/>
        <w:jc w:val="center"/>
        <w:rPr>
          <w:rFonts w:ascii="Open Sans" w:hAnsi="Open Sans" w:cs="Calibri"/>
          <w:color w:val="auto"/>
          <w:sz w:val="32"/>
        </w:rPr>
      </w:pPr>
      <w:r w:rsidRPr="0095403E">
        <w:rPr>
          <w:rFonts w:ascii="Open Sans" w:hAnsi="Open Sans" w:cs="Calibri"/>
          <w:color w:val="auto"/>
          <w:sz w:val="32"/>
        </w:rPr>
        <w:t xml:space="preserve">In-country technical assistance partners contributing to the implementation of the </w:t>
      </w:r>
      <w:r w:rsidRPr="0095403E">
        <w:rPr>
          <w:rFonts w:ascii="Open Sans" w:hAnsi="Open Sans" w:cs="Calibri"/>
          <w:i/>
          <w:color w:val="auto"/>
          <w:sz w:val="32"/>
        </w:rPr>
        <w:t>NDC Action Project</w:t>
      </w:r>
      <w:r w:rsidRPr="0095403E">
        <w:rPr>
          <w:rFonts w:ascii="Open Sans" w:hAnsi="Open Sans" w:cs="Calibri"/>
          <w:color w:val="auto"/>
          <w:sz w:val="32"/>
        </w:rPr>
        <w:t xml:space="preserve"> in </w:t>
      </w:r>
      <w:r>
        <w:rPr>
          <w:rFonts w:ascii="Open Sans" w:hAnsi="Open Sans" w:cs="Calibri"/>
          <w:color w:val="auto"/>
          <w:sz w:val="32"/>
        </w:rPr>
        <w:t xml:space="preserve">Colombia </w:t>
      </w:r>
      <w:r w:rsidRPr="0095403E">
        <w:rPr>
          <w:rFonts w:ascii="Open Sans" w:hAnsi="Open Sans" w:cs="Calibri"/>
          <w:color w:val="auto"/>
          <w:sz w:val="32"/>
        </w:rPr>
        <w:t>(The National Technical Institution: NTI)</w:t>
      </w:r>
    </w:p>
    <w:p w14:paraId="28FCA840" w14:textId="0DC3A175" w:rsidR="0098425A" w:rsidRPr="00B230EB" w:rsidRDefault="0098425A" w:rsidP="00B230EB">
      <w:pPr>
        <w:pStyle w:val="ListParagraph"/>
        <w:numPr>
          <w:ilvl w:val="0"/>
          <w:numId w:val="18"/>
        </w:numPr>
        <w:rPr>
          <w:rFonts w:ascii="Open Sans" w:hAnsi="Open Sans"/>
          <w:b/>
          <w:bCs/>
          <w:sz w:val="24"/>
          <w:szCs w:val="24"/>
          <w:lang w:val="en-US"/>
        </w:rPr>
      </w:pPr>
      <w:r w:rsidRPr="00B230EB">
        <w:rPr>
          <w:rFonts w:ascii="Open Sans" w:hAnsi="Open Sans"/>
          <w:b/>
          <w:bCs/>
          <w:sz w:val="24"/>
          <w:szCs w:val="24"/>
          <w:lang w:val="en-US"/>
        </w:rPr>
        <w:t>Background</w:t>
      </w:r>
    </w:p>
    <w:p w14:paraId="00FD7D91" w14:textId="03234357" w:rsidR="0098425A" w:rsidRPr="008F0A25" w:rsidRDefault="0098425A" w:rsidP="00673538">
      <w:pPr>
        <w:jc w:val="both"/>
        <w:rPr>
          <w:rFonts w:ascii="Open Sans" w:hAnsi="Open Sans" w:cs="Arial"/>
          <w:sz w:val="20"/>
          <w:szCs w:val="20"/>
          <w:lang w:val="en-US"/>
        </w:rPr>
      </w:pPr>
      <w:r w:rsidRPr="008F0A25">
        <w:rPr>
          <w:rFonts w:ascii="Open Sans" w:hAnsi="Open Sans" w:cs="Arial"/>
          <w:sz w:val="20"/>
          <w:szCs w:val="20"/>
          <w:lang w:val="en-US"/>
        </w:rPr>
        <w:t xml:space="preserve">Colombia has officially confirmed and updated its commitment towards the Paris Agreement through the submission of its updated Nationally Determined Contribution (NDC) to the </w:t>
      </w:r>
      <w:r w:rsidRPr="008F0A25">
        <w:rPr>
          <w:rFonts w:ascii="Open Sans" w:hAnsi="Open Sans" w:cs="Arial"/>
          <w:sz w:val="20"/>
          <w:szCs w:val="20"/>
          <w:shd w:val="clear" w:color="auto" w:fill="FFFFFF"/>
          <w:lang w:val="en-US"/>
        </w:rPr>
        <w:t xml:space="preserve">United Nations Framework Convention on Climate Change (UNFCCC) in December 2020. </w:t>
      </w:r>
      <w:r w:rsidRPr="008F0A25">
        <w:rPr>
          <w:rFonts w:ascii="Open Sans" w:hAnsi="Open Sans" w:cs="Arial"/>
          <w:sz w:val="20"/>
          <w:szCs w:val="20"/>
          <w:lang w:val="en-US"/>
        </w:rPr>
        <w:t>Colombia’s updated NDC contains more ambitious goals and commitments to address climate change at the national and local level</w:t>
      </w:r>
      <w:r w:rsidR="00A82437">
        <w:rPr>
          <w:rFonts w:ascii="Open Sans" w:hAnsi="Open Sans" w:cs="Arial"/>
          <w:sz w:val="20"/>
          <w:szCs w:val="20"/>
          <w:lang w:val="en-US"/>
        </w:rPr>
        <w:t xml:space="preserve">. These </w:t>
      </w:r>
      <w:r w:rsidR="0028366B" w:rsidRPr="008F0A25">
        <w:rPr>
          <w:rFonts w:ascii="Open Sans" w:hAnsi="Open Sans" w:cs="Arial"/>
          <w:sz w:val="20"/>
          <w:szCs w:val="20"/>
          <w:lang w:val="en-US"/>
        </w:rPr>
        <w:t>goals are</w:t>
      </w:r>
      <w:r w:rsidR="00A82437">
        <w:rPr>
          <w:rFonts w:ascii="Open Sans" w:hAnsi="Open Sans" w:cs="Arial"/>
          <w:sz w:val="20"/>
          <w:szCs w:val="20"/>
          <w:lang w:val="en-US"/>
        </w:rPr>
        <w:t xml:space="preserve"> to</w:t>
      </w:r>
      <w:r w:rsidRPr="008F0A25">
        <w:rPr>
          <w:rFonts w:ascii="Open Sans" w:hAnsi="Open Sans" w:cs="Arial"/>
          <w:sz w:val="20"/>
          <w:szCs w:val="20"/>
          <w:lang w:val="en-US"/>
        </w:rPr>
        <w:t>:</w:t>
      </w:r>
    </w:p>
    <w:p w14:paraId="17C6E2D8" w14:textId="69174C0A" w:rsidR="0098425A" w:rsidRPr="00982B25" w:rsidRDefault="0098425A" w:rsidP="00673538">
      <w:pPr>
        <w:pStyle w:val="ListParagraph"/>
        <w:numPr>
          <w:ilvl w:val="0"/>
          <w:numId w:val="1"/>
        </w:numPr>
        <w:jc w:val="both"/>
        <w:rPr>
          <w:rFonts w:ascii="Open Sans" w:hAnsi="Open Sans" w:cs="Arial"/>
          <w:sz w:val="20"/>
          <w:szCs w:val="20"/>
          <w:lang w:val="en-US"/>
        </w:rPr>
      </w:pPr>
      <w:r w:rsidRPr="008F0A25">
        <w:rPr>
          <w:rFonts w:ascii="Open Sans" w:hAnsi="Open Sans" w:cs="Arial"/>
          <w:sz w:val="20"/>
          <w:szCs w:val="20"/>
          <w:lang w:val="en-US"/>
        </w:rPr>
        <w:t xml:space="preserve">Reduce </w:t>
      </w:r>
      <w:r w:rsidR="00A82437" w:rsidRPr="008F0A25">
        <w:rPr>
          <w:rFonts w:ascii="Open Sans" w:hAnsi="Open Sans" w:cs="Arial"/>
          <w:sz w:val="20"/>
          <w:szCs w:val="20"/>
          <w:lang w:val="en-US"/>
        </w:rPr>
        <w:t>Colombia's</w:t>
      </w:r>
      <w:r w:rsidRPr="008F0A25">
        <w:rPr>
          <w:rFonts w:ascii="Open Sans" w:hAnsi="Open Sans" w:cs="Arial"/>
          <w:sz w:val="20"/>
          <w:szCs w:val="20"/>
          <w:lang w:val="en-US"/>
        </w:rPr>
        <w:t xml:space="preserve"> Green House Gas Emissions by 51% compared to the business as usual scenario by 203</w:t>
      </w:r>
      <w:r w:rsidR="00C16A93">
        <w:rPr>
          <w:rFonts w:ascii="Open Sans" w:hAnsi="Open Sans" w:cs="Arial"/>
          <w:sz w:val="20"/>
          <w:szCs w:val="20"/>
          <w:lang w:val="en-US"/>
        </w:rPr>
        <w:t>0</w:t>
      </w:r>
      <w:r w:rsidR="00787398">
        <w:rPr>
          <w:rFonts w:ascii="Open Sans" w:hAnsi="Open Sans" w:cs="Arial"/>
          <w:sz w:val="20"/>
          <w:szCs w:val="20"/>
          <w:lang w:val="en-US"/>
        </w:rPr>
        <w:t xml:space="preserve"> (baseline year</w:t>
      </w:r>
      <w:r w:rsidR="00DB7EFA" w:rsidRPr="00DB7EFA">
        <w:rPr>
          <w:rFonts w:ascii="Open Sans" w:hAnsi="Open Sans" w:cs="Arial"/>
          <w:sz w:val="20"/>
          <w:szCs w:val="20"/>
          <w:lang w:val="en-US"/>
        </w:rPr>
        <w:t xml:space="preserve">: </w:t>
      </w:r>
      <w:r w:rsidR="00DB7EFA">
        <w:rPr>
          <w:rFonts w:ascii="Open Sans" w:hAnsi="Open Sans" w:cs="Arial"/>
          <w:sz w:val="20"/>
          <w:szCs w:val="20"/>
          <w:lang w:val="en-US"/>
        </w:rPr>
        <w:t>2010</w:t>
      </w:r>
      <w:r w:rsidR="00787398">
        <w:rPr>
          <w:rFonts w:ascii="Open Sans" w:hAnsi="Open Sans" w:cs="Arial"/>
          <w:sz w:val="20"/>
          <w:szCs w:val="20"/>
          <w:lang w:val="en-US"/>
        </w:rPr>
        <w:t>)</w:t>
      </w:r>
      <w:r w:rsidRPr="008F0A25">
        <w:rPr>
          <w:rFonts w:ascii="Open Sans" w:hAnsi="Open Sans" w:cs="Arial"/>
          <w:sz w:val="20"/>
          <w:szCs w:val="20"/>
          <w:lang w:val="en-US"/>
        </w:rPr>
        <w:t xml:space="preserve">, </w:t>
      </w:r>
      <w:r w:rsidRPr="008F0A25">
        <w:rPr>
          <w:rFonts w:ascii="Open Sans" w:hAnsi="Open Sans"/>
          <w:color w:val="333333"/>
          <w:sz w:val="20"/>
          <w:szCs w:val="20"/>
          <w:shd w:val="clear" w:color="auto" w:fill="FFFFFF"/>
          <w:lang w:val="en-US"/>
        </w:rPr>
        <w:t>aligned with Colombia’s Long-Term Strategy to be net-zero by 2050.</w:t>
      </w:r>
    </w:p>
    <w:p w14:paraId="1872235B" w14:textId="43CD3E2B" w:rsidR="00C2484A" w:rsidRPr="008F0A25" w:rsidRDefault="00C2484A" w:rsidP="00673538">
      <w:pPr>
        <w:pStyle w:val="ListParagraph"/>
        <w:numPr>
          <w:ilvl w:val="0"/>
          <w:numId w:val="1"/>
        </w:numPr>
        <w:jc w:val="both"/>
        <w:rPr>
          <w:rFonts w:ascii="Open Sans" w:hAnsi="Open Sans" w:cs="Arial"/>
          <w:sz w:val="20"/>
          <w:szCs w:val="20"/>
          <w:lang w:val="en-US"/>
        </w:rPr>
      </w:pPr>
      <w:r>
        <w:rPr>
          <w:rFonts w:ascii="Open Sans" w:hAnsi="Open Sans"/>
          <w:color w:val="333333"/>
          <w:sz w:val="20"/>
          <w:szCs w:val="20"/>
          <w:shd w:val="clear" w:color="auto" w:fill="FFFFFF"/>
          <w:lang w:val="en-US"/>
        </w:rPr>
        <w:t xml:space="preserve">Adapt to climate change effects increasing resilience and reducing risk exposure and vulnerabilities. </w:t>
      </w:r>
    </w:p>
    <w:p w14:paraId="43F930AB" w14:textId="73A5C071" w:rsidR="0098425A" w:rsidRPr="008F0A25" w:rsidRDefault="0098425A" w:rsidP="00673538">
      <w:pPr>
        <w:pStyle w:val="ListParagraph"/>
        <w:numPr>
          <w:ilvl w:val="0"/>
          <w:numId w:val="1"/>
        </w:numPr>
        <w:jc w:val="both"/>
        <w:rPr>
          <w:rFonts w:ascii="Open Sans" w:hAnsi="Open Sans" w:cs="Arial"/>
          <w:sz w:val="20"/>
          <w:szCs w:val="20"/>
          <w:lang w:val="en-US"/>
        </w:rPr>
      </w:pPr>
      <w:r w:rsidRPr="008F0A25">
        <w:rPr>
          <w:rFonts w:ascii="Open Sans" w:hAnsi="Open Sans" w:cs="Arial"/>
          <w:sz w:val="20"/>
          <w:szCs w:val="20"/>
          <w:lang w:val="en-US"/>
        </w:rPr>
        <w:t xml:space="preserve">Reduce black carbon emissions by 40% and </w:t>
      </w:r>
      <w:r w:rsidR="00A82437">
        <w:rPr>
          <w:rFonts w:ascii="Open Sans" w:hAnsi="Open Sans" w:cs="Arial"/>
          <w:sz w:val="20"/>
          <w:szCs w:val="20"/>
          <w:lang w:val="en-US"/>
        </w:rPr>
        <w:t>e</w:t>
      </w:r>
      <w:r w:rsidRPr="008F0A25">
        <w:rPr>
          <w:rFonts w:ascii="Open Sans" w:hAnsi="Open Sans" w:cs="Arial"/>
          <w:sz w:val="20"/>
          <w:szCs w:val="20"/>
          <w:lang w:val="en-US"/>
        </w:rPr>
        <w:t>stablish a carbon budget by 2030.</w:t>
      </w:r>
    </w:p>
    <w:p w14:paraId="49CCD7F1" w14:textId="05B27C6D" w:rsidR="0098425A" w:rsidRPr="008F0A25" w:rsidRDefault="0098425A" w:rsidP="00673538">
      <w:pPr>
        <w:pStyle w:val="ListParagraph"/>
        <w:numPr>
          <w:ilvl w:val="0"/>
          <w:numId w:val="1"/>
        </w:numPr>
        <w:jc w:val="both"/>
        <w:rPr>
          <w:rFonts w:ascii="Open Sans" w:hAnsi="Open Sans" w:cs="Arial"/>
          <w:sz w:val="20"/>
          <w:szCs w:val="20"/>
          <w:lang w:val="en-US"/>
        </w:rPr>
      </w:pPr>
      <w:r w:rsidRPr="008F0A25">
        <w:rPr>
          <w:rFonts w:ascii="Open Sans" w:hAnsi="Open Sans" w:cs="Arial"/>
          <w:sz w:val="20"/>
          <w:szCs w:val="20"/>
          <w:lang w:val="en-US"/>
        </w:rPr>
        <w:t>Achieve</w:t>
      </w:r>
      <w:r w:rsidR="00283E99">
        <w:rPr>
          <w:rFonts w:ascii="Open Sans" w:hAnsi="Open Sans" w:cs="Arial"/>
          <w:sz w:val="20"/>
          <w:szCs w:val="20"/>
          <w:lang w:val="en-US"/>
        </w:rPr>
        <w:t xml:space="preserve"> net</w:t>
      </w:r>
      <w:r w:rsidRPr="008F0A25">
        <w:rPr>
          <w:rFonts w:ascii="Open Sans" w:hAnsi="Open Sans" w:cs="Arial"/>
          <w:sz w:val="20"/>
          <w:szCs w:val="20"/>
          <w:lang w:val="en-US"/>
        </w:rPr>
        <w:t xml:space="preserve"> </w:t>
      </w:r>
      <w:r w:rsidR="00A82437">
        <w:rPr>
          <w:rFonts w:ascii="Open Sans" w:hAnsi="Open Sans" w:cs="Arial"/>
          <w:sz w:val="20"/>
          <w:szCs w:val="20"/>
          <w:lang w:val="en-US"/>
        </w:rPr>
        <w:t>z</w:t>
      </w:r>
      <w:r w:rsidRPr="008F0A25">
        <w:rPr>
          <w:rFonts w:ascii="Open Sans" w:hAnsi="Open Sans" w:cs="Arial"/>
          <w:sz w:val="20"/>
          <w:szCs w:val="20"/>
          <w:lang w:val="en-US"/>
        </w:rPr>
        <w:t xml:space="preserve">ero deforestation by 2030. </w:t>
      </w:r>
    </w:p>
    <w:p w14:paraId="337E8C03" w14:textId="4933C5B0" w:rsidR="00751AD7" w:rsidRPr="008F0A25" w:rsidRDefault="0098425A" w:rsidP="00673538">
      <w:pPr>
        <w:jc w:val="both"/>
        <w:rPr>
          <w:rFonts w:ascii="Open Sans" w:hAnsi="Open Sans" w:cs="Arial"/>
          <w:sz w:val="20"/>
          <w:szCs w:val="20"/>
          <w:lang w:val="en-US"/>
        </w:rPr>
      </w:pPr>
      <w:r w:rsidRPr="008F0A25">
        <w:rPr>
          <w:rFonts w:ascii="Open Sans" w:hAnsi="Open Sans" w:cs="Arial"/>
          <w:sz w:val="20"/>
          <w:szCs w:val="20"/>
          <w:lang w:val="en-US"/>
        </w:rPr>
        <w:t>These commitments are reflected in 196 climate mitigation and adaptation goals and measurements distributed across sectors and territories. The Government through the Ministry of Environment and Sustainable Development is currently structuring the NDC Implementation Strategy— A road map that will guide relevant actors across ministries, institutions, and territories towards the achievement of climate goals.</w:t>
      </w:r>
      <w:r w:rsidR="00673538" w:rsidRPr="008F0A25">
        <w:rPr>
          <w:rFonts w:ascii="Open Sans" w:hAnsi="Open Sans" w:cs="Arial"/>
          <w:sz w:val="20"/>
          <w:szCs w:val="20"/>
          <w:lang w:val="en-US"/>
        </w:rPr>
        <w:t xml:space="preserve"> In the framework of the NDC Implementation Strategy, t</w:t>
      </w:r>
      <w:r w:rsidR="0028366B" w:rsidRPr="008F0A25">
        <w:rPr>
          <w:rFonts w:ascii="Open Sans" w:hAnsi="Open Sans" w:cs="Arial"/>
          <w:sz w:val="20"/>
          <w:szCs w:val="20"/>
          <w:lang w:val="en-US"/>
        </w:rPr>
        <w:t>he government has identified several</w:t>
      </w:r>
      <w:r w:rsidR="00A82437">
        <w:rPr>
          <w:rFonts w:ascii="Open Sans" w:hAnsi="Open Sans" w:cs="Arial"/>
          <w:sz w:val="20"/>
          <w:szCs w:val="20"/>
          <w:lang w:val="en-US"/>
        </w:rPr>
        <w:t xml:space="preserve"> </w:t>
      </w:r>
      <w:r w:rsidR="003F4D7A">
        <w:rPr>
          <w:rFonts w:ascii="Open Sans" w:hAnsi="Open Sans" w:cs="Arial"/>
          <w:sz w:val="20"/>
          <w:szCs w:val="20"/>
          <w:lang w:val="en-US"/>
        </w:rPr>
        <w:t>short-term</w:t>
      </w:r>
      <w:r w:rsidR="0028366B" w:rsidRPr="008F0A25">
        <w:rPr>
          <w:rFonts w:ascii="Open Sans" w:hAnsi="Open Sans" w:cs="Arial"/>
          <w:sz w:val="20"/>
          <w:szCs w:val="20"/>
          <w:lang w:val="en-US"/>
        </w:rPr>
        <w:t xml:space="preserve"> needs and enabling conditions to translate Colombia’s NDC goals into action</w:t>
      </w:r>
      <w:r w:rsidR="00673538" w:rsidRPr="008F0A25">
        <w:rPr>
          <w:rFonts w:ascii="Open Sans" w:hAnsi="Open Sans" w:cs="Arial"/>
          <w:sz w:val="20"/>
          <w:szCs w:val="20"/>
          <w:lang w:val="en-US"/>
        </w:rPr>
        <w:t>s</w:t>
      </w:r>
      <w:r w:rsidR="00BB34CE" w:rsidRPr="008F0A25">
        <w:rPr>
          <w:rFonts w:ascii="Open Sans" w:hAnsi="Open Sans" w:cs="Arial"/>
          <w:sz w:val="20"/>
          <w:szCs w:val="20"/>
          <w:lang w:val="en-US"/>
        </w:rPr>
        <w:t xml:space="preserve"> at the national and subnational level</w:t>
      </w:r>
      <w:r w:rsidR="00673538" w:rsidRPr="008F0A25">
        <w:rPr>
          <w:rFonts w:ascii="Open Sans" w:hAnsi="Open Sans" w:cs="Arial"/>
          <w:sz w:val="20"/>
          <w:szCs w:val="20"/>
          <w:lang w:val="en-US"/>
        </w:rPr>
        <w:t xml:space="preserve">. Some of these requirements are being incurred by the government but others </w:t>
      </w:r>
      <w:r w:rsidR="00BB34CE" w:rsidRPr="008F0A25">
        <w:rPr>
          <w:rFonts w:ascii="Open Sans" w:hAnsi="Open Sans" w:cs="Arial"/>
          <w:sz w:val="20"/>
          <w:szCs w:val="20"/>
          <w:lang w:val="en-US"/>
        </w:rPr>
        <w:t>need</w:t>
      </w:r>
      <w:r w:rsidR="00673538" w:rsidRPr="008F0A25">
        <w:rPr>
          <w:rFonts w:ascii="Open Sans" w:hAnsi="Open Sans" w:cs="Arial"/>
          <w:sz w:val="20"/>
          <w:szCs w:val="20"/>
          <w:lang w:val="en-US"/>
        </w:rPr>
        <w:t xml:space="preserve"> financial support from external sources such as private and international funds. </w:t>
      </w:r>
    </w:p>
    <w:p w14:paraId="3A9B26E3" w14:textId="7BA77A94" w:rsidR="0098425A" w:rsidRDefault="00751AD7" w:rsidP="008F0A25">
      <w:pPr>
        <w:pStyle w:val="Default"/>
        <w:jc w:val="both"/>
        <w:rPr>
          <w:rFonts w:ascii="Open Sans" w:hAnsi="Open Sans" w:cs="Calibri"/>
          <w:sz w:val="20"/>
          <w:szCs w:val="20"/>
          <w:lang w:val="en-US"/>
        </w:rPr>
      </w:pPr>
      <w:r w:rsidRPr="008F0A25">
        <w:rPr>
          <w:rFonts w:ascii="Open Sans" w:hAnsi="Open Sans"/>
          <w:sz w:val="20"/>
          <w:szCs w:val="20"/>
          <w:lang w:val="en-US"/>
        </w:rPr>
        <w:t>In the light of supporting Colombia and other nine partner countries</w:t>
      </w:r>
      <w:r w:rsidR="008F0A25" w:rsidRPr="008F0A25">
        <w:rPr>
          <w:rFonts w:ascii="Open Sans" w:hAnsi="Open Sans"/>
          <w:sz w:val="20"/>
          <w:szCs w:val="20"/>
          <w:lang w:val="en-US"/>
        </w:rPr>
        <w:t xml:space="preserve"> to translate their NDCs into concrete actions, the United Nations Environment Program</w:t>
      </w:r>
      <w:r w:rsidR="00D2340E">
        <w:rPr>
          <w:rFonts w:ascii="Open Sans" w:hAnsi="Open Sans"/>
          <w:sz w:val="20"/>
          <w:szCs w:val="20"/>
          <w:lang w:val="en-US"/>
        </w:rPr>
        <w:t xml:space="preserve"> (UNEP)</w:t>
      </w:r>
      <w:r w:rsidR="008F0A25" w:rsidRPr="008F0A25">
        <w:rPr>
          <w:rFonts w:ascii="Open Sans" w:hAnsi="Open Sans"/>
          <w:sz w:val="20"/>
          <w:szCs w:val="20"/>
          <w:lang w:val="en-US"/>
        </w:rPr>
        <w:t xml:space="preserve"> in partnership with the Denmark Technical University </w:t>
      </w:r>
      <w:r w:rsidR="001D0F35">
        <w:rPr>
          <w:rFonts w:ascii="Open Sans" w:hAnsi="Open Sans"/>
          <w:sz w:val="20"/>
          <w:szCs w:val="20"/>
          <w:lang w:val="en-US"/>
        </w:rPr>
        <w:t>(U</w:t>
      </w:r>
      <w:r w:rsidR="00A82437">
        <w:rPr>
          <w:rFonts w:ascii="Open Sans" w:hAnsi="Open Sans"/>
          <w:sz w:val="20"/>
          <w:szCs w:val="20"/>
          <w:lang w:val="en-US"/>
        </w:rPr>
        <w:t>NEP DTU Partnership -UDP</w:t>
      </w:r>
      <w:r w:rsidR="001D0F35">
        <w:rPr>
          <w:rFonts w:ascii="Open Sans" w:hAnsi="Open Sans"/>
          <w:sz w:val="20"/>
          <w:szCs w:val="20"/>
          <w:lang w:val="en-US"/>
        </w:rPr>
        <w:t xml:space="preserve">) </w:t>
      </w:r>
      <w:r w:rsidR="008F0A25" w:rsidRPr="008F0A25">
        <w:rPr>
          <w:rFonts w:ascii="Open Sans" w:hAnsi="Open Sans"/>
          <w:sz w:val="20"/>
          <w:szCs w:val="20"/>
          <w:lang w:val="en-US"/>
        </w:rPr>
        <w:t xml:space="preserve">joined efforts into a project called NDC Action.  The </w:t>
      </w:r>
      <w:r w:rsidR="0098425A" w:rsidRPr="008F0A25">
        <w:rPr>
          <w:rFonts w:ascii="Open Sans" w:hAnsi="Open Sans" w:cs="Calibri"/>
          <w:i/>
          <w:sz w:val="20"/>
          <w:szCs w:val="20"/>
          <w:lang w:val="en-US"/>
        </w:rPr>
        <w:t>NDC Action</w:t>
      </w:r>
      <w:r w:rsidR="008F0A25" w:rsidRPr="008F0A25">
        <w:rPr>
          <w:rFonts w:ascii="Open Sans" w:hAnsi="Open Sans" w:cs="Calibri"/>
          <w:i/>
          <w:sz w:val="20"/>
          <w:szCs w:val="20"/>
          <w:lang w:val="en-US"/>
        </w:rPr>
        <w:t xml:space="preserve"> project aims at</w:t>
      </w:r>
      <w:r w:rsidR="0098425A" w:rsidRPr="008F0A25">
        <w:rPr>
          <w:rFonts w:ascii="Open Sans" w:hAnsi="Open Sans" w:cs="Calibri"/>
          <w:i/>
          <w:sz w:val="20"/>
          <w:szCs w:val="20"/>
          <w:lang w:val="en-US"/>
        </w:rPr>
        <w:t xml:space="preserve"> </w:t>
      </w:r>
      <w:r w:rsidR="008F0A25" w:rsidRPr="008F0A25">
        <w:rPr>
          <w:rFonts w:ascii="Open Sans" w:hAnsi="Open Sans" w:cs="Calibri"/>
          <w:i/>
          <w:sz w:val="20"/>
          <w:szCs w:val="20"/>
          <w:lang w:val="en-US"/>
        </w:rPr>
        <w:t>f</w:t>
      </w:r>
      <w:r w:rsidR="0098425A" w:rsidRPr="008F0A25">
        <w:rPr>
          <w:rFonts w:ascii="Open Sans" w:hAnsi="Open Sans" w:cs="Calibri"/>
          <w:i/>
          <w:sz w:val="20"/>
          <w:szCs w:val="20"/>
          <w:lang w:val="en-US"/>
        </w:rPr>
        <w:t>acilitating implementation of climate-resilient and low-carbon development aligned with national and global goals</w:t>
      </w:r>
      <w:r w:rsidR="0098425A" w:rsidRPr="008F0A25">
        <w:rPr>
          <w:rFonts w:ascii="Open Sans" w:hAnsi="Open Sans" w:cs="Calibri"/>
          <w:sz w:val="20"/>
          <w:szCs w:val="20"/>
          <w:lang w:val="en-US"/>
        </w:rPr>
        <w:t xml:space="preserve">. It builds on three core principles: country ownership, balanced focus between adaptation and mitigation, and integration with national development and climate change priorities.  Aligning with partner countries' own NDC priorities, the </w:t>
      </w:r>
      <w:r w:rsidR="008F0A25">
        <w:rPr>
          <w:rFonts w:ascii="Open Sans" w:hAnsi="Open Sans" w:cs="Calibri"/>
          <w:sz w:val="20"/>
          <w:szCs w:val="20"/>
          <w:lang w:val="en-US"/>
        </w:rPr>
        <w:t xml:space="preserve">NDC Action </w:t>
      </w:r>
      <w:r w:rsidR="0098425A" w:rsidRPr="008F0A25">
        <w:rPr>
          <w:rFonts w:ascii="Open Sans" w:hAnsi="Open Sans" w:cs="Calibri"/>
          <w:sz w:val="20"/>
          <w:szCs w:val="20"/>
          <w:lang w:val="en-US"/>
        </w:rPr>
        <w:t xml:space="preserve">project will secure a multi-stakeholder and high-level engagement; provide the technical support to strengthen the capacity of institutions responsible for NDC implementation; support </w:t>
      </w:r>
      <w:r w:rsidR="008F0A25">
        <w:rPr>
          <w:rFonts w:ascii="Open Sans" w:hAnsi="Open Sans" w:cs="Calibri"/>
          <w:sz w:val="20"/>
          <w:szCs w:val="20"/>
          <w:lang w:val="en-US"/>
        </w:rPr>
        <w:t xml:space="preserve">the </w:t>
      </w:r>
      <w:r w:rsidR="0098425A" w:rsidRPr="008F0A25">
        <w:rPr>
          <w:rFonts w:ascii="Open Sans" w:hAnsi="Open Sans" w:cs="Calibri"/>
          <w:sz w:val="20"/>
          <w:szCs w:val="20"/>
          <w:lang w:val="en-US"/>
        </w:rPr>
        <w:t xml:space="preserve">development of a portfolio of sectoral policies and </w:t>
      </w:r>
      <w:proofErr w:type="spellStart"/>
      <w:r w:rsidR="0098425A" w:rsidRPr="008F0A25">
        <w:rPr>
          <w:rFonts w:ascii="Open Sans" w:hAnsi="Open Sans" w:cs="Calibri"/>
          <w:sz w:val="20"/>
          <w:szCs w:val="20"/>
          <w:lang w:val="en-US"/>
        </w:rPr>
        <w:t>programmes</w:t>
      </w:r>
      <w:proofErr w:type="spellEnd"/>
      <w:r w:rsidR="0098425A" w:rsidRPr="008F0A25">
        <w:rPr>
          <w:rFonts w:ascii="Open Sans" w:hAnsi="Open Sans" w:cs="Calibri"/>
          <w:sz w:val="20"/>
          <w:szCs w:val="20"/>
          <w:lang w:val="en-US"/>
        </w:rPr>
        <w:t xml:space="preserve"> for two priority sectors selected in each country; support development of investment plans in these sectors</w:t>
      </w:r>
      <w:r w:rsidR="008F0A25">
        <w:rPr>
          <w:rFonts w:ascii="Open Sans" w:hAnsi="Open Sans" w:cs="Calibri"/>
          <w:sz w:val="20"/>
          <w:szCs w:val="20"/>
          <w:lang w:val="en-US"/>
        </w:rPr>
        <w:t>,</w:t>
      </w:r>
      <w:r w:rsidR="0098425A" w:rsidRPr="008F0A25">
        <w:rPr>
          <w:rFonts w:ascii="Open Sans" w:hAnsi="Open Sans" w:cs="Calibri"/>
          <w:sz w:val="20"/>
          <w:szCs w:val="20"/>
          <w:lang w:val="en-US"/>
        </w:rPr>
        <w:t xml:space="preserve"> and facilitate experience-sharing, both among the partner countries and with others.</w:t>
      </w:r>
      <w:r w:rsidR="00C16A93">
        <w:rPr>
          <w:rFonts w:ascii="Open Sans" w:hAnsi="Open Sans" w:cs="Calibri"/>
          <w:sz w:val="20"/>
          <w:szCs w:val="20"/>
          <w:lang w:val="en-US"/>
        </w:rPr>
        <w:t xml:space="preserve"> </w:t>
      </w:r>
    </w:p>
    <w:p w14:paraId="5056C5A5" w14:textId="77777777" w:rsidR="008F0A25" w:rsidRPr="008F0A25" w:rsidRDefault="008F0A25" w:rsidP="008F0A25">
      <w:pPr>
        <w:pStyle w:val="Default"/>
        <w:jc w:val="both"/>
        <w:rPr>
          <w:rFonts w:ascii="Open Sans" w:hAnsi="Open Sans"/>
          <w:sz w:val="20"/>
          <w:szCs w:val="20"/>
          <w:lang w:val="en-US"/>
        </w:rPr>
      </w:pPr>
    </w:p>
    <w:p w14:paraId="09A4AF7A" w14:textId="4762F35A" w:rsidR="0098425A" w:rsidRPr="008F0A25" w:rsidRDefault="0098425A" w:rsidP="008F0A25">
      <w:pPr>
        <w:jc w:val="both"/>
        <w:rPr>
          <w:rFonts w:ascii="Open Sans" w:hAnsi="Open Sans" w:cs="Calibri"/>
          <w:sz w:val="20"/>
          <w:szCs w:val="20"/>
          <w:lang w:val="en-US"/>
        </w:rPr>
      </w:pPr>
      <w:r w:rsidRPr="008F0A25">
        <w:rPr>
          <w:rFonts w:ascii="Open Sans" w:hAnsi="Open Sans" w:cs="Calibri"/>
          <w:sz w:val="20"/>
          <w:szCs w:val="20"/>
          <w:lang w:val="en-US"/>
        </w:rPr>
        <w:t>The Project is coordinated by UNEP’s Economy Division</w:t>
      </w:r>
      <w:r w:rsidR="00C2484A">
        <w:rPr>
          <w:rFonts w:ascii="Open Sans" w:hAnsi="Open Sans" w:cs="Calibri"/>
          <w:sz w:val="20"/>
          <w:szCs w:val="20"/>
          <w:lang w:val="en-US"/>
        </w:rPr>
        <w:t xml:space="preserve">, UNEP Regional Office of Latin America and The </w:t>
      </w:r>
      <w:r w:rsidR="00982B25">
        <w:rPr>
          <w:rFonts w:ascii="Open Sans" w:hAnsi="Open Sans" w:cs="Calibri"/>
          <w:sz w:val="20"/>
          <w:szCs w:val="20"/>
          <w:lang w:val="en-US"/>
        </w:rPr>
        <w:t>Caribbean</w:t>
      </w:r>
      <w:r w:rsidRPr="008F0A25">
        <w:rPr>
          <w:rFonts w:ascii="Open Sans" w:hAnsi="Open Sans" w:cs="Calibri"/>
          <w:sz w:val="20"/>
          <w:szCs w:val="20"/>
          <w:lang w:val="en-US"/>
        </w:rPr>
        <w:t xml:space="preserve"> and implemented with UDP </w:t>
      </w:r>
      <w:r w:rsidRPr="008F0A25">
        <w:rPr>
          <w:rFonts w:ascii="Open Sans" w:eastAsia="MS Mincho" w:hAnsi="Open Sans" w:cs="Calibri"/>
          <w:sz w:val="20"/>
          <w:szCs w:val="20"/>
          <w:lang w:val="en-US" w:eastAsia="de-DE"/>
        </w:rPr>
        <w:t xml:space="preserve">providing technical and expert support. UDP will directly work with National Technical </w:t>
      </w:r>
      <w:r w:rsidR="00A854E6">
        <w:rPr>
          <w:rFonts w:ascii="Open Sans" w:eastAsia="MS Mincho" w:hAnsi="Open Sans" w:cs="Calibri"/>
          <w:sz w:val="20"/>
          <w:szCs w:val="20"/>
          <w:lang w:val="en-US" w:eastAsia="de-DE"/>
        </w:rPr>
        <w:t>I</w:t>
      </w:r>
      <w:r w:rsidR="00A854E6" w:rsidRPr="008F0A25">
        <w:rPr>
          <w:rFonts w:ascii="Open Sans" w:eastAsia="MS Mincho" w:hAnsi="Open Sans" w:cs="Calibri"/>
          <w:sz w:val="20"/>
          <w:szCs w:val="20"/>
          <w:lang w:val="en-US" w:eastAsia="de-DE"/>
        </w:rPr>
        <w:t xml:space="preserve">nstitutions </w:t>
      </w:r>
      <w:r w:rsidRPr="008F0A25">
        <w:rPr>
          <w:rFonts w:ascii="Open Sans" w:eastAsia="MS Mincho" w:hAnsi="Open Sans" w:cs="Calibri"/>
          <w:sz w:val="20"/>
          <w:szCs w:val="20"/>
          <w:lang w:val="en-US" w:eastAsia="de-DE"/>
        </w:rPr>
        <w:t xml:space="preserve">in guiding their work on the identified priority sectors and </w:t>
      </w:r>
      <w:r w:rsidRPr="008F0A25">
        <w:rPr>
          <w:rFonts w:ascii="Open Sans" w:eastAsia="MS Mincho" w:hAnsi="Open Sans" w:cs="Calibri"/>
          <w:sz w:val="20"/>
          <w:szCs w:val="20"/>
          <w:lang w:val="en-US" w:eastAsia="de-DE"/>
        </w:rPr>
        <w:lastRenderedPageBreak/>
        <w:t xml:space="preserve">activities and will provide technical assistance on policies and </w:t>
      </w:r>
      <w:proofErr w:type="spellStart"/>
      <w:r w:rsidRPr="008F0A25">
        <w:rPr>
          <w:rFonts w:ascii="Open Sans" w:eastAsia="MS Mincho" w:hAnsi="Open Sans" w:cs="Calibri"/>
          <w:sz w:val="20"/>
          <w:szCs w:val="20"/>
          <w:lang w:val="en-US" w:eastAsia="de-DE"/>
        </w:rPr>
        <w:t>programme</w:t>
      </w:r>
      <w:proofErr w:type="spellEnd"/>
      <w:r w:rsidRPr="008F0A25">
        <w:rPr>
          <w:rFonts w:ascii="Open Sans" w:eastAsia="MS Mincho" w:hAnsi="Open Sans" w:cs="Calibri"/>
          <w:sz w:val="20"/>
          <w:szCs w:val="20"/>
          <w:lang w:val="en-US" w:eastAsia="de-DE"/>
        </w:rPr>
        <w:t xml:space="preserve"> development. </w:t>
      </w:r>
      <w:r w:rsidRPr="008F0A25">
        <w:rPr>
          <w:rFonts w:ascii="Open Sans" w:eastAsia="MS Mincho" w:hAnsi="Open Sans" w:cs="Calibri"/>
          <w:sz w:val="20"/>
          <w:szCs w:val="20"/>
          <w:lang w:val="en-US"/>
        </w:rPr>
        <w:t xml:space="preserve">Technical assistance delivered jointly with national technical partners will i) strengthen the institutions responsible for implementing NDCs, ii) help engage the private sector and local financial institutions, iii) translate NDCs into a portfolio of policies and </w:t>
      </w:r>
      <w:proofErr w:type="spellStart"/>
      <w:r w:rsidRPr="008F0A25">
        <w:rPr>
          <w:rFonts w:ascii="Open Sans" w:eastAsia="MS Mincho" w:hAnsi="Open Sans" w:cs="Calibri"/>
          <w:sz w:val="20"/>
          <w:szCs w:val="20"/>
          <w:lang w:val="en-US"/>
        </w:rPr>
        <w:t>programmes</w:t>
      </w:r>
      <w:proofErr w:type="spellEnd"/>
      <w:r w:rsidRPr="008F0A25">
        <w:rPr>
          <w:rFonts w:ascii="Open Sans" w:eastAsia="MS Mincho" w:hAnsi="Open Sans" w:cs="Calibri"/>
          <w:sz w:val="20"/>
          <w:szCs w:val="20"/>
          <w:lang w:val="en-US"/>
        </w:rPr>
        <w:t xml:space="preserve"> for two priority sectors selected by each country, iv) develop investment plans in these sectors, and v) share lessons learned so NDC priorities are considered in complementarity across sectors to maximize climate and socioeconomic benefits.</w:t>
      </w:r>
    </w:p>
    <w:p w14:paraId="4596CC25" w14:textId="13C8C444" w:rsidR="0098425A" w:rsidRPr="008F0A25" w:rsidRDefault="0098425A" w:rsidP="008F0A25">
      <w:pPr>
        <w:jc w:val="both"/>
        <w:rPr>
          <w:rFonts w:ascii="Open Sans" w:hAnsi="Open Sans" w:cs="Calibri"/>
          <w:sz w:val="20"/>
          <w:szCs w:val="20"/>
          <w:lang w:val="en-US"/>
        </w:rPr>
      </w:pPr>
      <w:r w:rsidRPr="008F0A25">
        <w:rPr>
          <w:rFonts w:ascii="Open Sans" w:eastAsia="MS Mincho" w:hAnsi="Open Sans" w:cs="Calibri"/>
          <w:sz w:val="20"/>
          <w:szCs w:val="20"/>
          <w:lang w:val="en-US" w:eastAsia="de-DE"/>
        </w:rPr>
        <w:t xml:space="preserve">The project will identify and contract National Technical </w:t>
      </w:r>
      <w:r w:rsidR="00A854E6">
        <w:rPr>
          <w:rFonts w:ascii="Open Sans" w:eastAsia="MS Mincho" w:hAnsi="Open Sans" w:cs="Calibri"/>
          <w:sz w:val="20"/>
          <w:szCs w:val="20"/>
          <w:lang w:val="en-US" w:eastAsia="de-DE"/>
        </w:rPr>
        <w:t>I</w:t>
      </w:r>
      <w:r w:rsidRPr="008F0A25">
        <w:rPr>
          <w:rFonts w:ascii="Open Sans" w:eastAsia="MS Mincho" w:hAnsi="Open Sans" w:cs="Calibri"/>
          <w:sz w:val="20"/>
          <w:szCs w:val="20"/>
          <w:lang w:val="en-US" w:eastAsia="de-DE"/>
        </w:rPr>
        <w:t>nstitution(s) as in-country Technical Assistance partners to work on delivering the country level outputs in the identified priority sectors in close coordination with government bodies responsible for implementation of NDC actions in those sectors.</w:t>
      </w:r>
      <w:r w:rsidR="00DE6A14">
        <w:rPr>
          <w:rFonts w:ascii="Open Sans" w:hAnsi="Open Sans" w:cs="Calibri"/>
          <w:sz w:val="20"/>
          <w:szCs w:val="20"/>
          <w:lang w:val="en-US"/>
        </w:rPr>
        <w:t xml:space="preserve"> </w:t>
      </w:r>
      <w:r w:rsidRPr="008F0A25">
        <w:rPr>
          <w:rFonts w:ascii="Open Sans" w:hAnsi="Open Sans" w:cs="Calibri"/>
          <w:sz w:val="20"/>
          <w:szCs w:val="20"/>
          <w:lang w:val="en-US"/>
        </w:rPr>
        <w:t>Tailored local expertise brought to the project by the National Technical Institutions will strengthen the overall technical work at country level engaging the different stakeholders in charge of contributing to implementing the country NDC and other climate policies and instruments.</w:t>
      </w:r>
    </w:p>
    <w:p w14:paraId="4D9E5F83" w14:textId="4A7F3C74" w:rsidR="00F7129E" w:rsidRPr="003A18F7" w:rsidRDefault="00DE6A14" w:rsidP="00F7129E">
      <w:pPr>
        <w:pStyle w:val="Default"/>
        <w:jc w:val="both"/>
        <w:rPr>
          <w:rFonts w:ascii="Open Sans" w:hAnsi="Open Sans"/>
          <w:sz w:val="20"/>
          <w:szCs w:val="20"/>
          <w:lang w:val="en-US"/>
        </w:rPr>
      </w:pPr>
      <w:r>
        <w:rPr>
          <w:rFonts w:ascii="Open Sans" w:hAnsi="Open Sans"/>
          <w:sz w:val="20"/>
          <w:szCs w:val="20"/>
          <w:lang w:val="en-US"/>
        </w:rPr>
        <w:t xml:space="preserve">In Colombia, </w:t>
      </w:r>
      <w:r w:rsidRPr="008F0A25">
        <w:rPr>
          <w:rFonts w:ascii="Open Sans" w:hAnsi="Open Sans" w:cs="Calibri"/>
          <w:sz w:val="20"/>
          <w:szCs w:val="20"/>
          <w:lang w:val="en-US"/>
        </w:rPr>
        <w:t xml:space="preserve">the NTI will contribute to the project through the implementation of </w:t>
      </w:r>
      <w:r w:rsidR="00330736">
        <w:rPr>
          <w:rFonts w:ascii="Open Sans" w:hAnsi="Open Sans" w:cs="Calibri"/>
          <w:sz w:val="20"/>
          <w:szCs w:val="20"/>
          <w:lang w:val="en-US"/>
        </w:rPr>
        <w:t xml:space="preserve">an </w:t>
      </w:r>
      <w:r w:rsidRPr="008F0A25">
        <w:rPr>
          <w:rFonts w:ascii="Open Sans" w:hAnsi="Open Sans" w:cs="Calibri"/>
          <w:sz w:val="20"/>
          <w:szCs w:val="20"/>
          <w:lang w:val="en-US"/>
        </w:rPr>
        <w:t xml:space="preserve">annual </w:t>
      </w:r>
      <w:r>
        <w:rPr>
          <w:rFonts w:ascii="Open Sans" w:hAnsi="Open Sans" w:cs="Calibri"/>
          <w:sz w:val="20"/>
          <w:szCs w:val="20"/>
          <w:lang w:val="en-US"/>
        </w:rPr>
        <w:t xml:space="preserve">work plan </w:t>
      </w:r>
      <w:r>
        <w:rPr>
          <w:rFonts w:ascii="Open Sans" w:hAnsi="Open Sans"/>
          <w:sz w:val="20"/>
          <w:szCs w:val="20"/>
          <w:lang w:val="en-US"/>
        </w:rPr>
        <w:t>t</w:t>
      </w:r>
      <w:r w:rsidR="00673538" w:rsidRPr="008F0A25">
        <w:rPr>
          <w:rFonts w:ascii="Open Sans" w:hAnsi="Open Sans"/>
          <w:sz w:val="20"/>
          <w:szCs w:val="20"/>
          <w:lang w:val="en-US"/>
        </w:rPr>
        <w:t xml:space="preserve">o </w:t>
      </w:r>
      <w:r>
        <w:rPr>
          <w:rFonts w:ascii="Open Sans" w:hAnsi="Open Sans"/>
          <w:sz w:val="20"/>
          <w:szCs w:val="20"/>
          <w:lang w:val="en-US"/>
        </w:rPr>
        <w:t>conduct</w:t>
      </w:r>
      <w:r w:rsidR="00673538" w:rsidRPr="008F0A25">
        <w:rPr>
          <w:rFonts w:ascii="Open Sans" w:hAnsi="Open Sans"/>
          <w:sz w:val="20"/>
          <w:szCs w:val="20"/>
          <w:lang w:val="en-US"/>
        </w:rPr>
        <w:t xml:space="preserve"> a robust financial </w:t>
      </w:r>
      <w:r w:rsidR="00A65CA0">
        <w:rPr>
          <w:rFonts w:ascii="Open Sans" w:hAnsi="Open Sans"/>
          <w:sz w:val="20"/>
          <w:szCs w:val="20"/>
          <w:lang w:val="en-US"/>
        </w:rPr>
        <w:t>roadmap</w:t>
      </w:r>
      <w:r w:rsidR="00673538" w:rsidRPr="008F0A25">
        <w:rPr>
          <w:rFonts w:ascii="Open Sans" w:hAnsi="Open Sans"/>
          <w:sz w:val="20"/>
          <w:szCs w:val="20"/>
          <w:lang w:val="en-US"/>
        </w:rPr>
        <w:t xml:space="preserve"> that connects public and private resources with the NDC </w:t>
      </w:r>
      <w:r w:rsidR="00B97F27">
        <w:rPr>
          <w:rFonts w:ascii="Open Sans" w:hAnsi="Open Sans"/>
          <w:sz w:val="20"/>
          <w:szCs w:val="20"/>
          <w:lang w:val="en-US"/>
        </w:rPr>
        <w:t xml:space="preserve">goals and </w:t>
      </w:r>
      <w:r w:rsidR="00673538" w:rsidRPr="008F0A25">
        <w:rPr>
          <w:rFonts w:ascii="Open Sans" w:hAnsi="Open Sans"/>
          <w:sz w:val="20"/>
          <w:szCs w:val="20"/>
          <w:lang w:val="en-US"/>
        </w:rPr>
        <w:t>initiatives</w:t>
      </w:r>
      <w:r w:rsidR="00184639">
        <w:rPr>
          <w:rFonts w:ascii="Open Sans" w:hAnsi="Open Sans"/>
          <w:sz w:val="20"/>
          <w:szCs w:val="20"/>
          <w:lang w:val="en-US"/>
        </w:rPr>
        <w:t>.</w:t>
      </w:r>
      <w:r w:rsidR="00D45791">
        <w:rPr>
          <w:rFonts w:ascii="Open Sans" w:hAnsi="Open Sans"/>
          <w:sz w:val="20"/>
          <w:szCs w:val="20"/>
          <w:lang w:val="en-US"/>
        </w:rPr>
        <w:t xml:space="preserve"> The NTI will also contribute to the development of financial instruments in two priority sectors, which will be selected in </w:t>
      </w:r>
      <w:r w:rsidR="003A18F7">
        <w:rPr>
          <w:rFonts w:ascii="Open Sans" w:hAnsi="Open Sans"/>
          <w:sz w:val="20"/>
          <w:szCs w:val="20"/>
          <w:lang w:val="en-US"/>
        </w:rPr>
        <w:t xml:space="preserve">consultation with DCCGR in </w:t>
      </w:r>
      <w:r w:rsidR="00D45791">
        <w:rPr>
          <w:rFonts w:ascii="Open Sans" w:hAnsi="Open Sans"/>
          <w:sz w:val="20"/>
          <w:szCs w:val="20"/>
          <w:lang w:val="en-US"/>
        </w:rPr>
        <w:t xml:space="preserve">the first half </w:t>
      </w:r>
      <w:r w:rsidR="003A18F7">
        <w:rPr>
          <w:rFonts w:ascii="Open Sans" w:hAnsi="Open Sans"/>
          <w:sz w:val="20"/>
          <w:szCs w:val="20"/>
          <w:lang w:val="en-US"/>
        </w:rPr>
        <w:t>of 2021</w:t>
      </w:r>
      <w:r w:rsidR="00673538" w:rsidRPr="008F0A25">
        <w:rPr>
          <w:rFonts w:ascii="Open Sans" w:hAnsi="Open Sans"/>
          <w:sz w:val="20"/>
          <w:szCs w:val="20"/>
          <w:lang w:val="en-US"/>
        </w:rPr>
        <w:t xml:space="preserve">. </w:t>
      </w:r>
      <w:r w:rsidR="00F7129E">
        <w:rPr>
          <w:rFonts w:ascii="Open Sans" w:hAnsi="Open Sans"/>
          <w:sz w:val="20"/>
          <w:szCs w:val="20"/>
          <w:lang w:val="en-US"/>
        </w:rPr>
        <w:t>During the first year of assistance, t</w:t>
      </w:r>
      <w:r w:rsidR="00330736">
        <w:rPr>
          <w:rFonts w:ascii="Open Sans" w:hAnsi="Open Sans"/>
          <w:sz w:val="20"/>
          <w:szCs w:val="20"/>
          <w:lang w:val="en-US"/>
        </w:rPr>
        <w:t>h</w:t>
      </w:r>
      <w:r w:rsidR="001421DB">
        <w:rPr>
          <w:rFonts w:ascii="Open Sans" w:hAnsi="Open Sans"/>
          <w:sz w:val="20"/>
          <w:szCs w:val="20"/>
          <w:lang w:val="en-US"/>
        </w:rPr>
        <w:t>e NTI will contribute to the achievement of output 3 of the NDC Action</w:t>
      </w:r>
      <w:r w:rsidR="00F7129E">
        <w:rPr>
          <w:rFonts w:ascii="Open Sans" w:hAnsi="Open Sans"/>
          <w:sz w:val="20"/>
          <w:szCs w:val="20"/>
          <w:lang w:val="en-US"/>
        </w:rPr>
        <w:t xml:space="preserve"> project: </w:t>
      </w:r>
      <w:r w:rsidR="00F7129E" w:rsidRPr="00AE638F">
        <w:rPr>
          <w:rFonts w:ascii="Open Sans" w:hAnsi="Open Sans"/>
          <w:i/>
          <w:iCs/>
          <w:sz w:val="20"/>
          <w:szCs w:val="20"/>
          <w:lang w:val="en-US"/>
        </w:rPr>
        <w:t xml:space="preserve">Financial institutions at the national, regional, and global levels are engaged in the development of climate-friendly investment plans led by </w:t>
      </w:r>
      <w:r w:rsidR="00464316" w:rsidRPr="00AE638F">
        <w:rPr>
          <w:rFonts w:ascii="Open Sans" w:hAnsi="Open Sans"/>
          <w:i/>
          <w:iCs/>
          <w:sz w:val="20"/>
          <w:szCs w:val="20"/>
          <w:lang w:val="en-US"/>
        </w:rPr>
        <w:t>governments</w:t>
      </w:r>
      <w:r w:rsidR="00F7129E" w:rsidRPr="00AE638F">
        <w:rPr>
          <w:rFonts w:ascii="Open Sans" w:hAnsi="Open Sans"/>
          <w:i/>
          <w:iCs/>
          <w:sz w:val="20"/>
          <w:szCs w:val="20"/>
          <w:lang w:val="en-US"/>
        </w:rPr>
        <w:t xml:space="preserve"> and show commitment to make climate investments that support NDC implementation. </w:t>
      </w:r>
    </w:p>
    <w:p w14:paraId="3E1B89E1" w14:textId="17971803" w:rsidR="00673538" w:rsidRDefault="00673538" w:rsidP="008F0A25">
      <w:pPr>
        <w:jc w:val="both"/>
        <w:rPr>
          <w:rFonts w:ascii="Open Sans" w:hAnsi="Open Sans" w:cs="Arial"/>
          <w:sz w:val="20"/>
          <w:szCs w:val="20"/>
          <w:lang w:val="en-US"/>
        </w:rPr>
      </w:pPr>
    </w:p>
    <w:p w14:paraId="51BBD4AC" w14:textId="77777777" w:rsidR="007721F8" w:rsidRDefault="0098425A" w:rsidP="008F0A25">
      <w:pPr>
        <w:pStyle w:val="ListParagraph"/>
        <w:numPr>
          <w:ilvl w:val="0"/>
          <w:numId w:val="18"/>
        </w:numPr>
        <w:jc w:val="both"/>
        <w:rPr>
          <w:rFonts w:ascii="Open Sans" w:hAnsi="Open Sans"/>
          <w:b/>
          <w:bCs/>
          <w:sz w:val="24"/>
          <w:szCs w:val="24"/>
          <w:lang w:val="en-US"/>
        </w:rPr>
      </w:pPr>
      <w:r w:rsidRPr="00B230EB">
        <w:rPr>
          <w:rFonts w:ascii="Open Sans" w:hAnsi="Open Sans"/>
          <w:b/>
          <w:bCs/>
          <w:sz w:val="24"/>
          <w:szCs w:val="24"/>
          <w:lang w:val="en-US"/>
        </w:rPr>
        <w:t>Objective</w:t>
      </w:r>
    </w:p>
    <w:p w14:paraId="02A5D0D9" w14:textId="536BF6F9" w:rsidR="00646ACC" w:rsidRPr="007721F8" w:rsidRDefault="00646ACC" w:rsidP="007721F8">
      <w:pPr>
        <w:jc w:val="both"/>
        <w:rPr>
          <w:rFonts w:ascii="Open Sans" w:hAnsi="Open Sans"/>
          <w:b/>
          <w:bCs/>
          <w:sz w:val="24"/>
          <w:szCs w:val="24"/>
          <w:lang w:val="en-US"/>
        </w:rPr>
      </w:pPr>
      <w:r w:rsidRPr="007721F8">
        <w:rPr>
          <w:rFonts w:ascii="Open Sans" w:hAnsi="Open Sans"/>
          <w:sz w:val="20"/>
          <w:szCs w:val="20"/>
          <w:lang w:val="en-US"/>
        </w:rPr>
        <w:t xml:space="preserve">Support the Ministry of Environment and Sustainable Development </w:t>
      </w:r>
      <w:r w:rsidR="00C23922" w:rsidRPr="007721F8">
        <w:rPr>
          <w:rFonts w:ascii="Open Sans" w:hAnsi="Open Sans"/>
          <w:sz w:val="20"/>
          <w:szCs w:val="20"/>
          <w:lang w:val="en-US"/>
        </w:rPr>
        <w:t>to articulate</w:t>
      </w:r>
      <w:r w:rsidRPr="007721F8">
        <w:rPr>
          <w:rFonts w:ascii="Open Sans" w:hAnsi="Open Sans"/>
          <w:sz w:val="20"/>
          <w:szCs w:val="20"/>
          <w:lang w:val="en-US"/>
        </w:rPr>
        <w:t xml:space="preserve"> public and private climate-finance strategies to accelerate the implementation of Colombia’s updated NDC.</w:t>
      </w:r>
    </w:p>
    <w:p w14:paraId="3F58628B" w14:textId="5D6E831C" w:rsidR="0062119C" w:rsidRPr="0062119C" w:rsidRDefault="0062119C" w:rsidP="00B230EB">
      <w:pPr>
        <w:pStyle w:val="Heading1"/>
        <w:numPr>
          <w:ilvl w:val="0"/>
          <w:numId w:val="18"/>
        </w:numPr>
        <w:rPr>
          <w:rFonts w:ascii="Open Sans" w:hAnsi="Open Sans" w:cs="Open Sans"/>
          <w:color w:val="auto"/>
          <w:sz w:val="24"/>
          <w:szCs w:val="24"/>
        </w:rPr>
      </w:pPr>
      <w:r w:rsidRPr="0062119C">
        <w:rPr>
          <w:rFonts w:ascii="Open Sans" w:hAnsi="Open Sans" w:cs="Open Sans"/>
          <w:color w:val="auto"/>
          <w:sz w:val="24"/>
          <w:szCs w:val="24"/>
        </w:rPr>
        <w:t>Supervision</w:t>
      </w:r>
    </w:p>
    <w:p w14:paraId="01242315" w14:textId="725C43D6" w:rsidR="003A6388" w:rsidRPr="00511DDF" w:rsidRDefault="0062119C">
      <w:pPr>
        <w:jc w:val="both"/>
        <w:rPr>
          <w:rFonts w:ascii="Open Sans" w:hAnsi="Open Sans" w:cs="Open Sans"/>
          <w:sz w:val="20"/>
          <w:szCs w:val="20"/>
          <w:lang w:val="en-US"/>
        </w:rPr>
      </w:pPr>
      <w:r w:rsidRPr="00194CDF">
        <w:rPr>
          <w:rFonts w:ascii="Open Sans" w:hAnsi="Open Sans" w:cs="Open Sans"/>
          <w:sz w:val="20"/>
          <w:szCs w:val="20"/>
          <w:lang w:val="en-US"/>
        </w:rPr>
        <w:t xml:space="preserve">UNEP-DTU will be in charge of providing technical feedback to the products, supervising and </w:t>
      </w:r>
      <w:r w:rsidRPr="00511DDF">
        <w:rPr>
          <w:rFonts w:ascii="Open Sans" w:hAnsi="Open Sans" w:cs="Open Sans"/>
          <w:sz w:val="20"/>
          <w:szCs w:val="20"/>
          <w:lang w:val="en-US"/>
        </w:rPr>
        <w:t xml:space="preserve">approving the work of the NTI, in consultation with the Country Focal point (the Climate Change </w:t>
      </w:r>
      <w:r w:rsidR="006573A4">
        <w:rPr>
          <w:rFonts w:ascii="Open Sans" w:hAnsi="Open Sans" w:cs="Open Sans"/>
          <w:sz w:val="20"/>
          <w:szCs w:val="20"/>
          <w:lang w:val="en-US"/>
        </w:rPr>
        <w:t xml:space="preserve">and Risk Management </w:t>
      </w:r>
      <w:r w:rsidRPr="00511DDF">
        <w:rPr>
          <w:rFonts w:ascii="Open Sans" w:hAnsi="Open Sans" w:cs="Open Sans"/>
          <w:sz w:val="20"/>
          <w:szCs w:val="20"/>
          <w:lang w:val="en-US"/>
        </w:rPr>
        <w:t xml:space="preserve">Direction at the Ministry of Environment and </w:t>
      </w:r>
      <w:r w:rsidR="00EF39D5" w:rsidRPr="00511DDF">
        <w:rPr>
          <w:rFonts w:ascii="Open Sans" w:hAnsi="Open Sans" w:cs="Open Sans"/>
          <w:sz w:val="20"/>
          <w:szCs w:val="20"/>
          <w:lang w:val="en-US"/>
        </w:rPr>
        <w:t>Sustainable Development</w:t>
      </w:r>
      <w:r w:rsidRPr="00511DDF">
        <w:rPr>
          <w:rFonts w:ascii="Open Sans" w:hAnsi="Open Sans" w:cs="Open Sans"/>
          <w:sz w:val="20"/>
          <w:szCs w:val="20"/>
          <w:lang w:val="en-US"/>
        </w:rPr>
        <w:t>:</w:t>
      </w:r>
      <w:r w:rsidR="00EF39D5" w:rsidRPr="00511DDF">
        <w:rPr>
          <w:rFonts w:ascii="Open Sans" w:hAnsi="Open Sans" w:cs="Open Sans"/>
          <w:sz w:val="20"/>
          <w:szCs w:val="20"/>
          <w:lang w:val="en-US"/>
        </w:rPr>
        <w:t xml:space="preserve"> DCCGR</w:t>
      </w:r>
      <w:r w:rsidRPr="00511DDF">
        <w:rPr>
          <w:rFonts w:ascii="Open Sans" w:hAnsi="Open Sans" w:cs="Open Sans"/>
          <w:sz w:val="20"/>
          <w:szCs w:val="20"/>
          <w:lang w:val="en-US"/>
        </w:rPr>
        <w:t>), UNEP-ROLAC and UNEP-Paris representatives.</w:t>
      </w:r>
    </w:p>
    <w:p w14:paraId="59FF607D" w14:textId="61BE8814" w:rsidR="003A6388" w:rsidRPr="008F777C" w:rsidRDefault="003A6388" w:rsidP="008F777C">
      <w:pPr>
        <w:pStyle w:val="Heading1"/>
        <w:numPr>
          <w:ilvl w:val="0"/>
          <w:numId w:val="18"/>
        </w:numPr>
        <w:rPr>
          <w:rFonts w:ascii="Open Sans" w:hAnsi="Open Sans" w:cs="Open Sans"/>
          <w:b w:val="0"/>
          <w:bCs w:val="0"/>
          <w:sz w:val="24"/>
          <w:szCs w:val="24"/>
        </w:rPr>
      </w:pPr>
      <w:r w:rsidRPr="008F777C">
        <w:rPr>
          <w:rFonts w:ascii="Open Sans" w:hAnsi="Open Sans" w:cs="Open Sans"/>
          <w:color w:val="auto"/>
          <w:sz w:val="24"/>
          <w:szCs w:val="24"/>
        </w:rPr>
        <w:t>Roles and responsibilities</w:t>
      </w:r>
    </w:p>
    <w:p w14:paraId="3525734D" w14:textId="77777777" w:rsidR="003A6388" w:rsidRPr="00511DDF" w:rsidRDefault="003A6388" w:rsidP="003A6388">
      <w:pPr>
        <w:numPr>
          <w:ilvl w:val="0"/>
          <w:numId w:val="14"/>
        </w:numPr>
        <w:spacing w:after="240" w:line="276" w:lineRule="auto"/>
        <w:contextualSpacing/>
        <w:jc w:val="both"/>
        <w:rPr>
          <w:rFonts w:ascii="Open Sans" w:hAnsi="Open Sans" w:cs="Open Sans"/>
          <w:b/>
          <w:sz w:val="20"/>
          <w:szCs w:val="20"/>
        </w:rPr>
      </w:pPr>
      <w:r w:rsidRPr="00511DDF">
        <w:rPr>
          <w:rFonts w:ascii="Open Sans" w:hAnsi="Open Sans" w:cs="Open Sans"/>
          <w:b/>
          <w:sz w:val="20"/>
          <w:szCs w:val="20"/>
          <w:lang w:val="en-US"/>
        </w:rPr>
        <w:t>The National Technical Institution</w:t>
      </w:r>
      <w:r w:rsidRPr="00511DDF">
        <w:rPr>
          <w:rFonts w:ascii="Open Sans" w:hAnsi="Open Sans" w:cs="Open Sans"/>
          <w:b/>
          <w:sz w:val="20"/>
          <w:szCs w:val="20"/>
        </w:rPr>
        <w:t>:</w:t>
      </w:r>
    </w:p>
    <w:p w14:paraId="78C52D48" w14:textId="6DE22AA8" w:rsidR="003A6388" w:rsidRPr="00511DDF" w:rsidRDefault="003A6388" w:rsidP="00B230EB">
      <w:pPr>
        <w:ind w:left="360"/>
        <w:rPr>
          <w:rFonts w:ascii="Open Sans" w:hAnsi="Open Sans" w:cs="Open Sans"/>
          <w:sz w:val="20"/>
          <w:szCs w:val="20"/>
          <w:lang w:val="en-US"/>
        </w:rPr>
      </w:pPr>
      <w:r w:rsidRPr="00511DDF">
        <w:rPr>
          <w:rFonts w:ascii="Open Sans" w:hAnsi="Open Sans" w:cs="Open Sans"/>
          <w:sz w:val="20"/>
          <w:szCs w:val="20"/>
          <w:lang w:val="en-US"/>
        </w:rPr>
        <w:t xml:space="preserve">The NTI will contribute to the </w:t>
      </w:r>
      <w:r w:rsidR="00937056" w:rsidRPr="00511DDF">
        <w:rPr>
          <w:rFonts w:ascii="Open Sans" w:hAnsi="Open Sans" w:cs="Open Sans"/>
          <w:sz w:val="20"/>
          <w:szCs w:val="20"/>
          <w:lang w:val="en-US"/>
        </w:rPr>
        <w:t xml:space="preserve">NDC Action </w:t>
      </w:r>
      <w:r w:rsidRPr="00511DDF">
        <w:rPr>
          <w:rFonts w:ascii="Open Sans" w:hAnsi="Open Sans" w:cs="Open Sans"/>
          <w:sz w:val="20"/>
          <w:szCs w:val="20"/>
          <w:lang w:val="en-US"/>
        </w:rPr>
        <w:t>project:</w:t>
      </w:r>
    </w:p>
    <w:p w14:paraId="3F671AF8" w14:textId="77777777" w:rsidR="003A6388" w:rsidRPr="00511DDF" w:rsidRDefault="003A6388" w:rsidP="003A6388">
      <w:pPr>
        <w:numPr>
          <w:ilvl w:val="0"/>
          <w:numId w:val="15"/>
        </w:numPr>
        <w:spacing w:after="0" w:line="276" w:lineRule="auto"/>
        <w:contextualSpacing/>
        <w:jc w:val="both"/>
        <w:rPr>
          <w:rFonts w:ascii="Open Sans" w:eastAsia="Times New Roman" w:hAnsi="Open Sans" w:cs="Open Sans"/>
          <w:sz w:val="20"/>
          <w:szCs w:val="20"/>
        </w:rPr>
      </w:pPr>
      <w:r w:rsidRPr="00511DDF">
        <w:rPr>
          <w:rFonts w:ascii="Open Sans" w:eastAsia="Times New Roman" w:hAnsi="Open Sans" w:cs="Open Sans"/>
          <w:sz w:val="20"/>
          <w:szCs w:val="20"/>
        </w:rPr>
        <w:t xml:space="preserve">General </w:t>
      </w:r>
    </w:p>
    <w:p w14:paraId="718260A7" w14:textId="77777777" w:rsidR="003A6388" w:rsidRPr="00511DDF" w:rsidRDefault="003A6388" w:rsidP="002D351A">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Providing necessary technical supports requested by UDP’s Regional Coordinator.</w:t>
      </w:r>
    </w:p>
    <w:p w14:paraId="31C2C83A" w14:textId="77777777" w:rsidR="003A6388" w:rsidRPr="00511DDF" w:rsidRDefault="003A6388" w:rsidP="002D351A">
      <w:pPr>
        <w:numPr>
          <w:ilvl w:val="1"/>
          <w:numId w:val="15"/>
        </w:numPr>
        <w:spacing w:after="0" w:line="276" w:lineRule="auto"/>
        <w:ind w:left="1077" w:hanging="357"/>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Responding to UDP as well as country demands in a timely manner as appropriate.</w:t>
      </w:r>
    </w:p>
    <w:p w14:paraId="18881FBB" w14:textId="6B53C4A9" w:rsidR="003A6388" w:rsidRPr="00511DDF" w:rsidRDefault="003A6388" w:rsidP="002D351A">
      <w:pPr>
        <w:numPr>
          <w:ilvl w:val="1"/>
          <w:numId w:val="15"/>
        </w:numPr>
        <w:spacing w:after="0" w:line="276" w:lineRule="auto"/>
        <w:ind w:left="1077" w:hanging="357"/>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Deriving from the </w:t>
      </w:r>
      <w:r w:rsidRPr="00511DDF">
        <w:rPr>
          <w:rFonts w:ascii="Open Sans" w:eastAsia="Times New Roman" w:hAnsi="Open Sans" w:cs="Open Sans"/>
          <w:i/>
          <w:sz w:val="20"/>
          <w:szCs w:val="20"/>
          <w:lang w:val="en-US"/>
        </w:rPr>
        <w:t>NDC Action project</w:t>
      </w:r>
      <w:r w:rsidRPr="00511DDF">
        <w:rPr>
          <w:rFonts w:ascii="Open Sans" w:eastAsia="Times New Roman" w:hAnsi="Open Sans" w:cs="Open Sans"/>
          <w:sz w:val="20"/>
          <w:szCs w:val="20"/>
          <w:lang w:val="en-US"/>
        </w:rPr>
        <w:t xml:space="preserve"> general work packages (as approved by the donor),  developing in collaboration with the UDP’s Regional Coordinator and under the guidance </w:t>
      </w:r>
      <w:r w:rsidRPr="00511DDF">
        <w:rPr>
          <w:rFonts w:ascii="Open Sans" w:eastAsia="Times New Roman" w:hAnsi="Open Sans" w:cs="Open Sans"/>
          <w:sz w:val="20"/>
          <w:szCs w:val="20"/>
          <w:lang w:val="en-US"/>
        </w:rPr>
        <w:lastRenderedPageBreak/>
        <w:t xml:space="preserve">of </w:t>
      </w:r>
      <w:r w:rsidR="00937056" w:rsidRPr="00511DDF">
        <w:rPr>
          <w:rFonts w:ascii="Open Sans" w:eastAsia="Times New Roman" w:hAnsi="Open Sans" w:cs="Open Sans"/>
          <w:sz w:val="20"/>
          <w:szCs w:val="20"/>
          <w:lang w:val="en-US"/>
        </w:rPr>
        <w:t>DCCGR</w:t>
      </w:r>
      <w:r w:rsidRPr="00511DDF">
        <w:rPr>
          <w:rFonts w:ascii="Open Sans" w:eastAsia="Times New Roman" w:hAnsi="Open Sans" w:cs="Open Sans"/>
          <w:sz w:val="20"/>
          <w:szCs w:val="20"/>
          <w:lang w:val="en-US"/>
        </w:rPr>
        <w:t xml:space="preserve">’s </w:t>
      </w:r>
      <w:r w:rsidRPr="00511DDF">
        <w:rPr>
          <w:rFonts w:ascii="Open Sans" w:eastAsia="Times New Roman" w:hAnsi="Open Sans" w:cs="Open Sans"/>
          <w:i/>
          <w:sz w:val="20"/>
          <w:szCs w:val="20"/>
          <w:lang w:val="en-US"/>
        </w:rPr>
        <w:t>NDC Action project</w:t>
      </w:r>
      <w:r w:rsidRPr="00511DDF">
        <w:rPr>
          <w:rFonts w:ascii="Open Sans" w:eastAsia="Times New Roman" w:hAnsi="Open Sans" w:cs="Open Sans"/>
          <w:sz w:val="20"/>
          <w:szCs w:val="20"/>
          <w:lang w:val="en-US"/>
        </w:rPr>
        <w:t xml:space="preserve"> Operation Focal Points an annual work plan tailored to the needs of Co</w:t>
      </w:r>
      <w:r w:rsidR="00591808" w:rsidRPr="00511DDF">
        <w:rPr>
          <w:rFonts w:ascii="Open Sans" w:eastAsia="Times New Roman" w:hAnsi="Open Sans" w:cs="Open Sans"/>
          <w:sz w:val="20"/>
          <w:szCs w:val="20"/>
          <w:lang w:val="en-US"/>
        </w:rPr>
        <w:t>lombia</w:t>
      </w:r>
      <w:r w:rsidRPr="00511DDF">
        <w:rPr>
          <w:rFonts w:ascii="Open Sans" w:eastAsia="Times New Roman" w:hAnsi="Open Sans" w:cs="Open Sans"/>
          <w:sz w:val="20"/>
          <w:szCs w:val="20"/>
          <w:lang w:val="en-US"/>
        </w:rPr>
        <w:t xml:space="preserve"> for promoting the project and </w:t>
      </w:r>
      <w:r w:rsidR="00763ADD" w:rsidRPr="00511DDF">
        <w:rPr>
          <w:rFonts w:ascii="Open Sans" w:eastAsia="Times New Roman" w:hAnsi="Open Sans" w:cs="Open Sans"/>
          <w:sz w:val="20"/>
          <w:szCs w:val="20"/>
          <w:lang w:val="en-US"/>
        </w:rPr>
        <w:t xml:space="preserve">implementing the updated NDC. </w:t>
      </w:r>
    </w:p>
    <w:p w14:paraId="3936076D" w14:textId="77777777" w:rsidR="003A6388" w:rsidRPr="00511DDF" w:rsidRDefault="003A6388" w:rsidP="002D351A">
      <w:pPr>
        <w:numPr>
          <w:ilvl w:val="1"/>
          <w:numId w:val="15"/>
        </w:numPr>
        <w:spacing w:after="0" w:line="276" w:lineRule="auto"/>
        <w:ind w:left="1077" w:hanging="357"/>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Preparing and distributing a progress report every six months to UDP’s </w:t>
      </w:r>
      <w:r w:rsidRPr="00511DDF">
        <w:rPr>
          <w:rFonts w:ascii="Open Sans" w:hAnsi="Open Sans" w:cs="Open Sans"/>
          <w:sz w:val="20"/>
          <w:szCs w:val="20"/>
          <w:lang w:val="en-US"/>
        </w:rPr>
        <w:t xml:space="preserve">Regional Coordinator, the NDC Action National Project Coordinator and other relevant counterparts of the project as appropriate. </w:t>
      </w:r>
    </w:p>
    <w:p w14:paraId="68C7A6CE" w14:textId="77777777" w:rsidR="003A6388" w:rsidRPr="00511DDF" w:rsidRDefault="003A6388" w:rsidP="002D351A">
      <w:pPr>
        <w:numPr>
          <w:ilvl w:val="1"/>
          <w:numId w:val="15"/>
        </w:numPr>
        <w:spacing w:after="0" w:line="276" w:lineRule="auto"/>
        <w:ind w:left="1077" w:hanging="357"/>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Providing administrative and logistic support for organizing national events and meetings, liaising with the UDP’s </w:t>
      </w:r>
      <w:r w:rsidRPr="00511DDF">
        <w:rPr>
          <w:rFonts w:ascii="Open Sans" w:hAnsi="Open Sans" w:cs="Open Sans"/>
          <w:sz w:val="20"/>
          <w:szCs w:val="20"/>
          <w:lang w:val="en-US"/>
        </w:rPr>
        <w:t>Regional Coordinator,</w:t>
      </w:r>
      <w:r w:rsidRPr="00511DDF">
        <w:rPr>
          <w:rFonts w:ascii="Open Sans" w:eastAsia="Times New Roman" w:hAnsi="Open Sans" w:cs="Open Sans"/>
          <w:sz w:val="20"/>
          <w:szCs w:val="20"/>
          <w:lang w:val="en-US"/>
        </w:rPr>
        <w:t xml:space="preserve"> the NDC Action National Project Coordinator, and other relevant counterparts of the project as appropriate.</w:t>
      </w:r>
    </w:p>
    <w:p w14:paraId="4E570E3E" w14:textId="77777777" w:rsidR="003A6388" w:rsidRPr="00511DDF" w:rsidRDefault="003A6388" w:rsidP="002D351A">
      <w:pPr>
        <w:numPr>
          <w:ilvl w:val="1"/>
          <w:numId w:val="15"/>
        </w:numPr>
        <w:spacing w:after="0" w:line="276" w:lineRule="auto"/>
        <w:ind w:left="1077" w:hanging="357"/>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Assisting the project team of UDP/UNEP in preparing and arranging meetings and working sessions with government institutions and local stakeholders.</w:t>
      </w:r>
    </w:p>
    <w:p w14:paraId="44CA299C" w14:textId="4E13A76C" w:rsidR="003A6388" w:rsidRPr="00511DDF" w:rsidRDefault="003A6388" w:rsidP="002D351A">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Arial" w:hAnsi="Open Sans" w:cs="Open Sans"/>
          <w:sz w:val="20"/>
          <w:szCs w:val="20"/>
          <w:lang w:val="en-US"/>
        </w:rPr>
        <w:t xml:space="preserve">Preparing and submitting a final annual synthesis report of the technical assistance delivered as part of the </w:t>
      </w:r>
      <w:r w:rsidRPr="00511DDF">
        <w:rPr>
          <w:rFonts w:ascii="Open Sans" w:eastAsia="Arial" w:hAnsi="Open Sans" w:cs="Open Sans"/>
          <w:i/>
          <w:sz w:val="20"/>
          <w:szCs w:val="20"/>
          <w:lang w:val="en-US"/>
        </w:rPr>
        <w:t>NDC Action project</w:t>
      </w:r>
      <w:r w:rsidRPr="00511DDF">
        <w:rPr>
          <w:rFonts w:ascii="Open Sans" w:eastAsia="Arial" w:hAnsi="Open Sans" w:cs="Open Sans"/>
          <w:sz w:val="20"/>
          <w:szCs w:val="20"/>
          <w:lang w:val="en-US"/>
        </w:rPr>
        <w:t>.</w:t>
      </w:r>
    </w:p>
    <w:p w14:paraId="630AAC6E" w14:textId="77777777" w:rsidR="00300287" w:rsidRPr="00511DDF" w:rsidRDefault="00300287" w:rsidP="00300287">
      <w:pPr>
        <w:spacing w:after="0" w:line="276" w:lineRule="auto"/>
        <w:ind w:left="1080"/>
        <w:contextualSpacing/>
        <w:jc w:val="both"/>
        <w:rPr>
          <w:rFonts w:ascii="Open Sans" w:eastAsia="Times New Roman" w:hAnsi="Open Sans" w:cs="Open Sans"/>
          <w:sz w:val="20"/>
          <w:szCs w:val="20"/>
          <w:lang w:val="en-US"/>
        </w:rPr>
      </w:pPr>
    </w:p>
    <w:p w14:paraId="359AB7BD" w14:textId="77777777" w:rsidR="00300287" w:rsidRPr="00511DDF" w:rsidRDefault="00300287" w:rsidP="00300287">
      <w:pPr>
        <w:numPr>
          <w:ilvl w:val="0"/>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Implementation support: </w:t>
      </w:r>
    </w:p>
    <w:p w14:paraId="0B8794EC" w14:textId="77777777" w:rsidR="00300287" w:rsidRPr="00511DDF" w:rsidRDefault="00300287" w:rsidP="00300287">
      <w:pPr>
        <w:spacing w:after="0"/>
        <w:ind w:left="360"/>
        <w:contextualSpacing/>
        <w:rPr>
          <w:rFonts w:ascii="Open Sans" w:eastAsia="Times New Roman" w:hAnsi="Open Sans" w:cs="Open Sans"/>
          <w:sz w:val="20"/>
          <w:szCs w:val="20"/>
          <w:lang w:val="en-US"/>
        </w:rPr>
      </w:pPr>
    </w:p>
    <w:p w14:paraId="6B68CB3E" w14:textId="77777777"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Identifying, in consultation with the National Project Coordinator, key stakeholders for NDC implementation, and proposing when needed an engagement strategy.</w:t>
      </w:r>
    </w:p>
    <w:p w14:paraId="2E49FB7E" w14:textId="327729BB"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Participating, when needed, in project meetings called by </w:t>
      </w:r>
      <w:r w:rsidR="00B42B02" w:rsidRPr="00511DDF">
        <w:rPr>
          <w:rFonts w:ascii="Open Sans" w:eastAsia="Times New Roman" w:hAnsi="Open Sans" w:cs="Open Sans"/>
          <w:sz w:val="20"/>
          <w:szCs w:val="20"/>
          <w:lang w:val="en-US"/>
        </w:rPr>
        <w:t>DCCGR</w:t>
      </w:r>
      <w:r w:rsidRPr="00511DDF">
        <w:rPr>
          <w:rFonts w:ascii="Open Sans" w:eastAsia="Times New Roman" w:hAnsi="Open Sans" w:cs="Open Sans"/>
          <w:sz w:val="20"/>
          <w:szCs w:val="20"/>
          <w:lang w:val="en-US"/>
        </w:rPr>
        <w:t>’s NDC Action project Operation Focal Points or the NDC Action National Project Coordinator.</w:t>
      </w:r>
    </w:p>
    <w:p w14:paraId="6741CEE3" w14:textId="581DEAD0"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Contributing to the development of training materials and other relevant knowledge products for the implementation of the project.</w:t>
      </w:r>
    </w:p>
    <w:p w14:paraId="62AACA8E" w14:textId="63418ED1"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 xml:space="preserve">Contributing to the </w:t>
      </w:r>
      <w:r w:rsidRPr="00511DDF">
        <w:rPr>
          <w:rFonts w:ascii="Open Sans" w:hAnsi="Open Sans" w:cs="Open Sans"/>
          <w:sz w:val="20"/>
          <w:szCs w:val="20"/>
          <w:lang w:val="en-US"/>
        </w:rPr>
        <w:t>strengthening of NDC multi-stakeholder consultation and coordination mechanisms in Co</w:t>
      </w:r>
      <w:r w:rsidR="00AA48F4" w:rsidRPr="00511DDF">
        <w:rPr>
          <w:rFonts w:ascii="Open Sans" w:hAnsi="Open Sans" w:cs="Open Sans"/>
          <w:sz w:val="20"/>
          <w:szCs w:val="20"/>
          <w:lang w:val="en-US"/>
        </w:rPr>
        <w:t>lombia</w:t>
      </w:r>
      <w:r w:rsidRPr="00511DDF">
        <w:rPr>
          <w:rFonts w:ascii="Open Sans" w:hAnsi="Open Sans" w:cs="Open Sans"/>
          <w:sz w:val="20"/>
          <w:szCs w:val="20"/>
          <w:lang w:val="en-US"/>
        </w:rPr>
        <w:t xml:space="preserve">, through the background papers of: </w:t>
      </w:r>
    </w:p>
    <w:p w14:paraId="4D299F99" w14:textId="2F31A0B2" w:rsidR="00300287" w:rsidRPr="00511DDF" w:rsidRDefault="00300287" w:rsidP="00300287">
      <w:pPr>
        <w:numPr>
          <w:ilvl w:val="2"/>
          <w:numId w:val="16"/>
        </w:numPr>
        <w:tabs>
          <w:tab w:val="left" w:pos="993"/>
        </w:tabs>
        <w:spacing w:after="0" w:line="276" w:lineRule="auto"/>
        <w:jc w:val="both"/>
        <w:rPr>
          <w:rFonts w:ascii="Open Sans" w:hAnsi="Open Sans" w:cs="Open Sans"/>
          <w:sz w:val="20"/>
          <w:szCs w:val="20"/>
          <w:lang w:val="en-US"/>
        </w:rPr>
      </w:pPr>
      <w:r w:rsidRPr="00511DDF">
        <w:rPr>
          <w:rFonts w:ascii="Open Sans" w:hAnsi="Open Sans" w:cs="Open Sans"/>
          <w:sz w:val="20"/>
          <w:szCs w:val="20"/>
          <w:lang w:val="en-US"/>
        </w:rPr>
        <w:t xml:space="preserve">Review of national experiences on </w:t>
      </w:r>
      <w:r w:rsidR="00790107" w:rsidRPr="00511DDF">
        <w:rPr>
          <w:rFonts w:ascii="Open Sans" w:hAnsi="Open Sans" w:cs="Open Sans"/>
          <w:sz w:val="20"/>
          <w:szCs w:val="20"/>
          <w:lang w:val="en-US"/>
        </w:rPr>
        <w:t xml:space="preserve">climate finance and </w:t>
      </w:r>
      <w:r w:rsidRPr="00511DDF">
        <w:rPr>
          <w:rFonts w:ascii="Open Sans" w:hAnsi="Open Sans" w:cs="Open Sans"/>
          <w:sz w:val="20"/>
          <w:szCs w:val="20"/>
          <w:lang w:val="en-US"/>
        </w:rPr>
        <w:t>NDC</w:t>
      </w:r>
      <w:r w:rsidR="003303F3">
        <w:rPr>
          <w:rFonts w:ascii="Open Sans" w:hAnsi="Open Sans" w:cs="Open Sans"/>
          <w:sz w:val="20"/>
          <w:szCs w:val="20"/>
          <w:lang w:val="en-US"/>
        </w:rPr>
        <w:t>,</w:t>
      </w:r>
    </w:p>
    <w:p w14:paraId="50DC8DA4" w14:textId="77777777" w:rsidR="00300287" w:rsidRPr="00511DDF" w:rsidRDefault="00300287" w:rsidP="00300287">
      <w:pPr>
        <w:numPr>
          <w:ilvl w:val="2"/>
          <w:numId w:val="16"/>
        </w:numPr>
        <w:tabs>
          <w:tab w:val="left" w:pos="993"/>
        </w:tabs>
        <w:spacing w:after="0" w:line="276" w:lineRule="auto"/>
        <w:jc w:val="both"/>
        <w:rPr>
          <w:rFonts w:ascii="Open Sans" w:hAnsi="Open Sans" w:cs="Open Sans"/>
          <w:sz w:val="20"/>
          <w:szCs w:val="20"/>
          <w:lang w:val="en-US"/>
        </w:rPr>
      </w:pPr>
      <w:r w:rsidRPr="00511DDF">
        <w:rPr>
          <w:rFonts w:ascii="Open Sans" w:hAnsi="Open Sans" w:cs="Open Sans"/>
          <w:sz w:val="20"/>
          <w:szCs w:val="20"/>
          <w:lang w:val="en-US"/>
        </w:rPr>
        <w:t>Stocktaking of NDC-related activities and the main actors involved, both national and international (development partners).</w:t>
      </w:r>
    </w:p>
    <w:p w14:paraId="3832BD59" w14:textId="57CD1172" w:rsidR="00300287" w:rsidRPr="00511DDF" w:rsidRDefault="00300287" w:rsidP="00300287">
      <w:pPr>
        <w:numPr>
          <w:ilvl w:val="2"/>
          <w:numId w:val="16"/>
        </w:numPr>
        <w:tabs>
          <w:tab w:val="left" w:pos="993"/>
        </w:tabs>
        <w:spacing w:after="0" w:line="276" w:lineRule="auto"/>
        <w:jc w:val="both"/>
        <w:rPr>
          <w:rFonts w:ascii="Open Sans" w:hAnsi="Open Sans" w:cs="Open Sans"/>
          <w:sz w:val="20"/>
          <w:szCs w:val="20"/>
          <w:lang w:val="en-US"/>
        </w:rPr>
      </w:pPr>
      <w:r w:rsidRPr="00511DDF">
        <w:rPr>
          <w:rFonts w:ascii="Open Sans" w:hAnsi="Open Sans" w:cs="Open Sans"/>
          <w:sz w:val="20"/>
          <w:szCs w:val="20"/>
          <w:lang w:val="en-US"/>
        </w:rPr>
        <w:t xml:space="preserve">Analysis of institutional arrangements and regulatory frameworks for NDC </w:t>
      </w:r>
      <w:r w:rsidR="0094570A" w:rsidRPr="00511DDF">
        <w:rPr>
          <w:rFonts w:ascii="Open Sans" w:hAnsi="Open Sans" w:cs="Open Sans"/>
          <w:sz w:val="20"/>
          <w:szCs w:val="20"/>
          <w:lang w:val="en-US"/>
        </w:rPr>
        <w:t>financing</w:t>
      </w:r>
      <w:r w:rsidRPr="00511DDF">
        <w:rPr>
          <w:rFonts w:ascii="Open Sans" w:hAnsi="Open Sans" w:cs="Open Sans"/>
          <w:sz w:val="20"/>
          <w:szCs w:val="20"/>
          <w:lang w:val="en-US"/>
        </w:rPr>
        <w:t xml:space="preserve"> including financial sector</w:t>
      </w:r>
    </w:p>
    <w:p w14:paraId="0D96C0F9" w14:textId="39E05E2F" w:rsidR="00300287" w:rsidRPr="00511DDF" w:rsidRDefault="00300287" w:rsidP="00300287">
      <w:pPr>
        <w:numPr>
          <w:ilvl w:val="2"/>
          <w:numId w:val="16"/>
        </w:numPr>
        <w:tabs>
          <w:tab w:val="left" w:pos="993"/>
        </w:tabs>
        <w:spacing w:after="0" w:line="276" w:lineRule="auto"/>
        <w:jc w:val="both"/>
        <w:rPr>
          <w:rFonts w:ascii="Open Sans" w:hAnsi="Open Sans" w:cs="Open Sans"/>
          <w:sz w:val="20"/>
          <w:szCs w:val="20"/>
          <w:lang w:val="en-US"/>
        </w:rPr>
      </w:pPr>
      <w:r w:rsidRPr="00511DDF">
        <w:rPr>
          <w:rFonts w:ascii="Open Sans" w:hAnsi="Open Sans" w:cs="Open Sans"/>
          <w:sz w:val="20"/>
          <w:szCs w:val="20"/>
          <w:lang w:val="en-US"/>
        </w:rPr>
        <w:t xml:space="preserve">Identifying challenges in NDC </w:t>
      </w:r>
      <w:r w:rsidR="0094570A" w:rsidRPr="00511DDF">
        <w:rPr>
          <w:rFonts w:ascii="Open Sans" w:hAnsi="Open Sans" w:cs="Open Sans"/>
          <w:sz w:val="20"/>
          <w:szCs w:val="20"/>
          <w:lang w:val="en-US"/>
        </w:rPr>
        <w:t xml:space="preserve">financing and </w:t>
      </w:r>
      <w:r w:rsidRPr="00511DDF">
        <w:rPr>
          <w:rFonts w:ascii="Open Sans" w:hAnsi="Open Sans" w:cs="Open Sans"/>
          <w:sz w:val="20"/>
          <w:szCs w:val="20"/>
          <w:lang w:val="en-US"/>
        </w:rPr>
        <w:t>implementation and ways to overcome</w:t>
      </w:r>
    </w:p>
    <w:p w14:paraId="6B75C86D" w14:textId="77777777"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Assessing the institutional and human capacity of potential stakeholders for steering NDC implementation in the selected priority sectors.</w:t>
      </w:r>
    </w:p>
    <w:p w14:paraId="2096F1BD" w14:textId="420F658A" w:rsidR="00300287" w:rsidRPr="00511DDF" w:rsidRDefault="00300287" w:rsidP="00300287">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eastAsia="Times New Roman" w:hAnsi="Open Sans" w:cs="Open Sans"/>
          <w:sz w:val="20"/>
          <w:szCs w:val="20"/>
          <w:lang w:val="en-US"/>
        </w:rPr>
        <w:t>Supporting the organization of</w:t>
      </w:r>
      <w:r w:rsidRPr="00511DDF">
        <w:rPr>
          <w:rFonts w:ascii="Open Sans" w:hAnsi="Open Sans" w:cs="Open Sans"/>
          <w:sz w:val="20"/>
          <w:szCs w:val="20"/>
          <w:lang w:val="en-US"/>
        </w:rPr>
        <w:t xml:space="preserve"> multi-stakeholder consultation meetings on current </w:t>
      </w:r>
      <w:r w:rsidR="00657B58" w:rsidRPr="00511DDF">
        <w:rPr>
          <w:rFonts w:ascii="Open Sans" w:hAnsi="Open Sans" w:cs="Open Sans"/>
          <w:sz w:val="20"/>
          <w:szCs w:val="20"/>
          <w:lang w:val="en-US"/>
        </w:rPr>
        <w:t xml:space="preserve">NDC </w:t>
      </w:r>
      <w:r w:rsidRPr="00511DDF">
        <w:rPr>
          <w:rFonts w:ascii="Open Sans" w:hAnsi="Open Sans" w:cs="Open Sans"/>
          <w:sz w:val="20"/>
          <w:szCs w:val="20"/>
          <w:lang w:val="en-US"/>
        </w:rPr>
        <w:t>implementation and options for more ambitious action in future NDCs.</w:t>
      </w:r>
    </w:p>
    <w:p w14:paraId="09955D2A" w14:textId="77777777"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Supporting, as deemed necessary, awareness raising activities on the urgency of climate change and the need for more ambitious action.</w:t>
      </w:r>
    </w:p>
    <w:p w14:paraId="4223C4E3" w14:textId="77777777"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 xml:space="preserve">Preparing analytical reports on policies and </w:t>
      </w:r>
      <w:proofErr w:type="spellStart"/>
      <w:r w:rsidRPr="00511DDF">
        <w:rPr>
          <w:rFonts w:ascii="Open Sans" w:hAnsi="Open Sans" w:cs="Open Sans"/>
          <w:sz w:val="20"/>
          <w:szCs w:val="20"/>
          <w:lang w:val="en-US"/>
        </w:rPr>
        <w:t>programmes</w:t>
      </w:r>
      <w:proofErr w:type="spellEnd"/>
      <w:r w:rsidRPr="00511DDF">
        <w:rPr>
          <w:rFonts w:ascii="Open Sans" w:hAnsi="Open Sans" w:cs="Open Sans"/>
          <w:sz w:val="20"/>
          <w:szCs w:val="20"/>
          <w:lang w:val="en-US"/>
        </w:rPr>
        <w:t xml:space="preserve"> that will drive NDC implementation in the agreed priority sectors, including prerequisites, potential barriers, and means of overcoming barriers.</w:t>
      </w:r>
    </w:p>
    <w:p w14:paraId="71450DE1" w14:textId="77777777"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Assessing the engagement level of private sector for the implementation of the NDC.</w:t>
      </w:r>
    </w:p>
    <w:p w14:paraId="013273A4" w14:textId="77777777" w:rsidR="0032725D" w:rsidRPr="00511DDF" w:rsidRDefault="0032725D" w:rsidP="0032725D">
      <w:pPr>
        <w:numPr>
          <w:ilvl w:val="1"/>
          <w:numId w:val="15"/>
        </w:numPr>
        <w:spacing w:after="0" w:line="276" w:lineRule="auto"/>
        <w:contextualSpacing/>
        <w:jc w:val="both"/>
        <w:rPr>
          <w:rFonts w:ascii="Open Sans" w:hAnsi="Open Sans" w:cs="Open Sans"/>
          <w:sz w:val="20"/>
          <w:szCs w:val="20"/>
          <w:lang w:val="en-US"/>
        </w:rPr>
      </w:pPr>
      <w:r w:rsidRPr="00511DDF">
        <w:rPr>
          <w:rFonts w:ascii="Open Sans" w:hAnsi="Open Sans" w:cs="Open Sans"/>
          <w:sz w:val="20"/>
          <w:szCs w:val="20"/>
          <w:lang w:val="en-US"/>
        </w:rPr>
        <w:t xml:space="preserve">Raising awareness among private sector actors about the opportunities they could seize by getting involved in / developing climate projects contributing to NDC implementation. </w:t>
      </w:r>
    </w:p>
    <w:p w14:paraId="078B1AA5" w14:textId="3036D368"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lastRenderedPageBreak/>
        <w:t>Reaching out to, and engaging in consultation with the</w:t>
      </w:r>
      <w:r w:rsidRPr="00511DDF">
        <w:rPr>
          <w:rFonts w:ascii="Open Sans" w:eastAsia="Times New Roman" w:hAnsi="Open Sans" w:cs="Open Sans"/>
          <w:sz w:val="20"/>
          <w:szCs w:val="20"/>
          <w:lang w:val="en-US"/>
        </w:rPr>
        <w:t xml:space="preserve"> UDP’s </w:t>
      </w:r>
      <w:r w:rsidRPr="00511DDF">
        <w:rPr>
          <w:rFonts w:ascii="Open Sans" w:hAnsi="Open Sans" w:cs="Open Sans"/>
          <w:sz w:val="20"/>
          <w:szCs w:val="20"/>
          <w:lang w:val="en-US"/>
        </w:rPr>
        <w:t xml:space="preserve">Regional Coordinator, </w:t>
      </w:r>
      <w:r w:rsidRPr="00511DDF">
        <w:rPr>
          <w:rFonts w:ascii="Open Sans" w:eastAsia="Times New Roman" w:hAnsi="Open Sans" w:cs="Open Sans"/>
          <w:sz w:val="20"/>
          <w:szCs w:val="20"/>
          <w:lang w:val="en-US"/>
        </w:rPr>
        <w:t xml:space="preserve">DCCGR’s NDC Action project Operation Focal Points, the NDC Action </w:t>
      </w:r>
      <w:r w:rsidRPr="00511DDF">
        <w:rPr>
          <w:rFonts w:ascii="Open Sans" w:hAnsi="Open Sans" w:cs="Open Sans"/>
          <w:sz w:val="20"/>
          <w:szCs w:val="20"/>
          <w:lang w:val="en-US"/>
        </w:rPr>
        <w:t xml:space="preserve">National Project Coordinator, and/or UNEP-UDP NDC Action Project team members </w:t>
      </w:r>
      <w:r w:rsidRPr="00511DDF">
        <w:rPr>
          <w:rFonts w:ascii="Open Sans" w:eastAsia="Times New Roman" w:hAnsi="Open Sans" w:cs="Open Sans"/>
          <w:sz w:val="20"/>
          <w:szCs w:val="20"/>
          <w:lang w:val="en-US"/>
        </w:rPr>
        <w:t>as relevant</w:t>
      </w:r>
      <w:r w:rsidRPr="00511DDF">
        <w:rPr>
          <w:rFonts w:ascii="Open Sans" w:hAnsi="Open Sans" w:cs="Open Sans"/>
          <w:sz w:val="20"/>
          <w:szCs w:val="20"/>
          <w:lang w:val="en-US"/>
        </w:rPr>
        <w:t xml:space="preserve"> international and national financial institutions, including commercial banks, community level cooperatives and microfinance institutions, to design innovative climate finance mechanisms, market climate finance products, and commit climate investments at national and community levels.</w:t>
      </w:r>
    </w:p>
    <w:p w14:paraId="7E89EB07" w14:textId="77777777"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Support the design of climate-friendly investment plans and development of draft proposals for climate finance and organize workshops at country level in this regard</w:t>
      </w:r>
    </w:p>
    <w:p w14:paraId="0C0A7501" w14:textId="77777777" w:rsidR="0032725D" w:rsidRPr="00511DDF" w:rsidRDefault="0032725D" w:rsidP="0032725D">
      <w:pPr>
        <w:numPr>
          <w:ilvl w:val="1"/>
          <w:numId w:val="15"/>
        </w:numPr>
        <w:spacing w:after="0" w:line="276" w:lineRule="auto"/>
        <w:contextualSpacing/>
        <w:jc w:val="both"/>
        <w:rPr>
          <w:rFonts w:ascii="Open Sans" w:eastAsia="Times New Roman" w:hAnsi="Open Sans" w:cs="Open Sans"/>
          <w:sz w:val="20"/>
          <w:szCs w:val="20"/>
          <w:lang w:val="en-US"/>
        </w:rPr>
      </w:pPr>
      <w:r w:rsidRPr="00511DDF">
        <w:rPr>
          <w:rFonts w:ascii="Open Sans" w:hAnsi="Open Sans" w:cs="Open Sans"/>
          <w:sz w:val="20"/>
          <w:szCs w:val="20"/>
          <w:lang w:val="en-US"/>
        </w:rPr>
        <w:t>Sharing</w:t>
      </w:r>
      <w:r w:rsidRPr="00511DDF">
        <w:rPr>
          <w:rFonts w:ascii="Open Sans" w:eastAsia="Times New Roman" w:hAnsi="Open Sans" w:cs="Open Sans"/>
          <w:sz w:val="20"/>
          <w:szCs w:val="20"/>
          <w:lang w:val="en-US"/>
        </w:rPr>
        <w:t xml:space="preserve"> lessons of project outputs and outcomes with other institutions of the NTI’s network across the American continent.</w:t>
      </w:r>
    </w:p>
    <w:p w14:paraId="08375034" w14:textId="0D1D8CB8" w:rsidR="0032725D" w:rsidRPr="00511DDF" w:rsidRDefault="0032725D" w:rsidP="0032725D">
      <w:pPr>
        <w:numPr>
          <w:ilvl w:val="1"/>
          <w:numId w:val="15"/>
        </w:numPr>
        <w:spacing w:after="0" w:line="276" w:lineRule="auto"/>
        <w:contextualSpacing/>
        <w:jc w:val="both"/>
        <w:rPr>
          <w:rFonts w:ascii="Open Sans" w:hAnsi="Open Sans" w:cs="Open Sans"/>
          <w:sz w:val="20"/>
          <w:szCs w:val="20"/>
          <w:lang w:val="en-US"/>
        </w:rPr>
      </w:pPr>
      <w:r w:rsidRPr="00511DDF">
        <w:rPr>
          <w:rFonts w:ascii="Open Sans" w:hAnsi="Open Sans" w:cs="Open Sans"/>
          <w:sz w:val="20"/>
          <w:szCs w:val="20"/>
          <w:lang w:val="en-US"/>
        </w:rPr>
        <w:t xml:space="preserve">Engage ground actors </w:t>
      </w:r>
      <w:r w:rsidR="003303F3">
        <w:rPr>
          <w:rFonts w:ascii="Open Sans" w:hAnsi="Open Sans" w:cs="Open Sans"/>
          <w:sz w:val="20"/>
          <w:szCs w:val="20"/>
          <w:lang w:val="en-US"/>
        </w:rPr>
        <w:t xml:space="preserve">to </w:t>
      </w:r>
      <w:r w:rsidRPr="00511DDF">
        <w:rPr>
          <w:rFonts w:ascii="Open Sans" w:hAnsi="Open Sans" w:cs="Open Sans"/>
          <w:sz w:val="20"/>
          <w:szCs w:val="20"/>
          <w:lang w:val="en-US"/>
        </w:rPr>
        <w:t xml:space="preserve">ensure </w:t>
      </w:r>
      <w:r w:rsidR="003303F3" w:rsidRPr="00511DDF">
        <w:rPr>
          <w:rFonts w:ascii="Open Sans" w:hAnsi="Open Sans" w:cs="Open Sans"/>
          <w:sz w:val="20"/>
          <w:szCs w:val="20"/>
          <w:lang w:val="en-US"/>
        </w:rPr>
        <w:t>mobilization</w:t>
      </w:r>
      <w:r w:rsidRPr="00511DDF">
        <w:rPr>
          <w:rFonts w:ascii="Open Sans" w:hAnsi="Open Sans" w:cs="Open Sans"/>
          <w:sz w:val="20"/>
          <w:szCs w:val="20"/>
          <w:lang w:val="en-US"/>
        </w:rPr>
        <w:t xml:space="preserve"> of empirical data for feedback to inform practical NDCs implementation investment policies and trajectories</w:t>
      </w:r>
      <w:r w:rsidR="003303F3">
        <w:rPr>
          <w:rFonts w:ascii="Open Sans" w:hAnsi="Open Sans" w:cs="Open Sans"/>
          <w:sz w:val="20"/>
          <w:szCs w:val="20"/>
          <w:lang w:val="en-US"/>
        </w:rPr>
        <w:t>.</w:t>
      </w:r>
    </w:p>
    <w:p w14:paraId="4D0C8E24" w14:textId="0CF22A64" w:rsidR="0032725D" w:rsidRPr="00511DDF" w:rsidRDefault="0032725D" w:rsidP="0032725D">
      <w:pPr>
        <w:numPr>
          <w:ilvl w:val="1"/>
          <w:numId w:val="15"/>
        </w:numPr>
        <w:spacing w:after="0" w:line="276" w:lineRule="auto"/>
        <w:contextualSpacing/>
        <w:jc w:val="both"/>
        <w:rPr>
          <w:rFonts w:ascii="Open Sans" w:hAnsi="Open Sans" w:cs="Open Sans"/>
          <w:sz w:val="20"/>
          <w:szCs w:val="20"/>
          <w:lang w:val="en-US"/>
        </w:rPr>
      </w:pPr>
      <w:r w:rsidRPr="00511DDF">
        <w:rPr>
          <w:rFonts w:ascii="Open Sans" w:hAnsi="Open Sans" w:cs="Open Sans"/>
          <w:sz w:val="20"/>
          <w:szCs w:val="20"/>
          <w:lang w:val="en-US"/>
        </w:rPr>
        <w:t xml:space="preserve">Supporting </w:t>
      </w:r>
      <w:r w:rsidR="00EE5280" w:rsidRPr="00511DDF">
        <w:rPr>
          <w:rFonts w:ascii="Open Sans" w:hAnsi="Open Sans" w:cs="Open Sans"/>
          <w:sz w:val="20"/>
          <w:szCs w:val="20"/>
          <w:lang w:val="en-US"/>
        </w:rPr>
        <w:t>D</w:t>
      </w:r>
      <w:r w:rsidRPr="00511DDF">
        <w:rPr>
          <w:rFonts w:ascii="Open Sans" w:hAnsi="Open Sans" w:cs="Open Sans"/>
          <w:sz w:val="20"/>
          <w:szCs w:val="20"/>
          <w:lang w:val="en-US"/>
        </w:rPr>
        <w:t>CC</w:t>
      </w:r>
      <w:r w:rsidR="00EE5280" w:rsidRPr="00511DDF">
        <w:rPr>
          <w:rFonts w:ascii="Open Sans" w:hAnsi="Open Sans" w:cs="Open Sans"/>
          <w:sz w:val="20"/>
          <w:szCs w:val="20"/>
          <w:lang w:val="en-US"/>
        </w:rPr>
        <w:t>GR</w:t>
      </w:r>
      <w:r w:rsidRPr="00511DDF">
        <w:rPr>
          <w:rFonts w:ascii="Open Sans" w:hAnsi="Open Sans" w:cs="Open Sans"/>
          <w:sz w:val="20"/>
          <w:szCs w:val="20"/>
          <w:lang w:val="en-US"/>
        </w:rPr>
        <w:t xml:space="preserve"> to distil relevant knowledge and lessons learned from the project and feed it into the global stocktaking process with the aim of encouraging the global community to enhance ambition in future NDCs.</w:t>
      </w:r>
    </w:p>
    <w:p w14:paraId="75B5DE35" w14:textId="77777777" w:rsidR="0032725D" w:rsidRPr="00511DDF" w:rsidRDefault="0032725D" w:rsidP="0032725D">
      <w:pPr>
        <w:numPr>
          <w:ilvl w:val="1"/>
          <w:numId w:val="15"/>
        </w:numPr>
        <w:spacing w:after="0" w:line="276" w:lineRule="auto"/>
        <w:contextualSpacing/>
        <w:jc w:val="both"/>
        <w:rPr>
          <w:rFonts w:ascii="Open Sans" w:hAnsi="Open Sans" w:cs="Open Sans"/>
          <w:sz w:val="20"/>
          <w:szCs w:val="20"/>
          <w:lang w:val="en-US"/>
        </w:rPr>
      </w:pPr>
      <w:r w:rsidRPr="00511DDF">
        <w:rPr>
          <w:rFonts w:ascii="Open Sans" w:hAnsi="Open Sans" w:cs="Open Sans"/>
          <w:sz w:val="20"/>
          <w:szCs w:val="20"/>
          <w:lang w:val="en-US"/>
        </w:rPr>
        <w:t xml:space="preserve">Responding to any other request </w:t>
      </w:r>
      <w:r w:rsidRPr="00511DDF">
        <w:rPr>
          <w:rFonts w:ascii="Open Sans" w:eastAsia="Times New Roman" w:hAnsi="Open Sans" w:cs="Open Sans"/>
          <w:sz w:val="20"/>
          <w:szCs w:val="20"/>
          <w:lang w:val="en-US"/>
        </w:rPr>
        <w:t xml:space="preserve">from the UDP’s Regional Coordinator </w:t>
      </w:r>
      <w:r w:rsidRPr="00511DDF">
        <w:rPr>
          <w:rFonts w:ascii="Open Sans" w:hAnsi="Open Sans" w:cs="Open Sans"/>
          <w:sz w:val="20"/>
          <w:szCs w:val="20"/>
          <w:lang w:val="en-US"/>
        </w:rPr>
        <w:t>deemed relevant to the project implementation.</w:t>
      </w:r>
    </w:p>
    <w:p w14:paraId="31B24F48" w14:textId="77777777" w:rsidR="00511DDF" w:rsidRDefault="00511DDF" w:rsidP="00511DDF">
      <w:pPr>
        <w:spacing w:after="0" w:line="276" w:lineRule="auto"/>
        <w:contextualSpacing/>
        <w:jc w:val="both"/>
        <w:rPr>
          <w:rFonts w:ascii="Calibri" w:eastAsia="Times New Roman" w:hAnsi="Calibri" w:cs="Calibri"/>
          <w:lang w:val="en-US"/>
        </w:rPr>
      </w:pPr>
    </w:p>
    <w:p w14:paraId="5B74D10B" w14:textId="468550F4" w:rsidR="0036473D" w:rsidRPr="00511DDF" w:rsidRDefault="0036473D" w:rsidP="00B230EB">
      <w:pPr>
        <w:numPr>
          <w:ilvl w:val="0"/>
          <w:numId w:val="14"/>
        </w:numPr>
        <w:spacing w:after="240" w:line="276" w:lineRule="auto"/>
        <w:contextualSpacing/>
        <w:jc w:val="both"/>
        <w:rPr>
          <w:rFonts w:ascii="Open Sans" w:hAnsi="Open Sans" w:cs="Open Sans"/>
          <w:b/>
          <w:sz w:val="20"/>
          <w:szCs w:val="20"/>
        </w:rPr>
      </w:pPr>
      <w:proofErr w:type="spellStart"/>
      <w:r w:rsidRPr="00511DDF">
        <w:rPr>
          <w:rFonts w:ascii="Open Sans" w:hAnsi="Open Sans" w:cs="Open Sans"/>
          <w:sz w:val="20"/>
          <w:szCs w:val="20"/>
        </w:rPr>
        <w:t>The</w:t>
      </w:r>
      <w:proofErr w:type="spellEnd"/>
      <w:r w:rsidRPr="00511DDF">
        <w:rPr>
          <w:rFonts w:ascii="Open Sans" w:hAnsi="Open Sans" w:cs="Open Sans"/>
          <w:sz w:val="20"/>
          <w:szCs w:val="20"/>
        </w:rPr>
        <w:t xml:space="preserve"> Project Lead</w:t>
      </w:r>
      <w:r w:rsidR="00511DDF">
        <w:rPr>
          <w:rFonts w:ascii="Open Sans" w:hAnsi="Open Sans" w:cs="Open Sans"/>
          <w:sz w:val="20"/>
          <w:szCs w:val="20"/>
        </w:rPr>
        <w:t xml:space="preserve">: </w:t>
      </w:r>
    </w:p>
    <w:p w14:paraId="7E2B3A98" w14:textId="77777777" w:rsidR="0036473D" w:rsidRPr="00511DDF" w:rsidRDefault="0036473D" w:rsidP="0036473D">
      <w:pPr>
        <w:spacing w:after="240"/>
        <w:contextualSpacing/>
        <w:rPr>
          <w:rFonts w:ascii="Open Sans" w:hAnsi="Open Sans" w:cs="Open Sans"/>
          <w:sz w:val="20"/>
          <w:szCs w:val="20"/>
          <w:lang w:val="en-US"/>
        </w:rPr>
      </w:pPr>
      <w:r w:rsidRPr="00511DDF">
        <w:rPr>
          <w:rFonts w:ascii="Open Sans" w:hAnsi="Open Sans" w:cs="Open Sans"/>
          <w:sz w:val="20"/>
          <w:szCs w:val="20"/>
          <w:lang w:val="en-US"/>
        </w:rPr>
        <w:t xml:space="preserve">The NTI appoints within its </w:t>
      </w:r>
      <w:proofErr w:type="spellStart"/>
      <w:r w:rsidRPr="00511DDF">
        <w:rPr>
          <w:rFonts w:ascii="Open Sans" w:hAnsi="Open Sans" w:cs="Open Sans"/>
          <w:sz w:val="20"/>
          <w:szCs w:val="20"/>
          <w:lang w:val="en-US"/>
        </w:rPr>
        <w:t>organisation</w:t>
      </w:r>
      <w:proofErr w:type="spellEnd"/>
      <w:r w:rsidRPr="00511DDF">
        <w:rPr>
          <w:rFonts w:ascii="Open Sans" w:hAnsi="Open Sans" w:cs="Open Sans"/>
          <w:sz w:val="20"/>
          <w:szCs w:val="20"/>
          <w:lang w:val="en-US"/>
        </w:rPr>
        <w:t xml:space="preserve">, a Project Lead who will be the key communication point for UDP and will: </w:t>
      </w:r>
    </w:p>
    <w:p w14:paraId="5B73CCE8" w14:textId="77777777" w:rsidR="0036473D" w:rsidRPr="00511DDF" w:rsidRDefault="0036473D" w:rsidP="0036473D">
      <w:pPr>
        <w:pStyle w:val="ListParagraph"/>
        <w:numPr>
          <w:ilvl w:val="0"/>
          <w:numId w:val="17"/>
        </w:numPr>
        <w:spacing w:after="0" w:line="276" w:lineRule="auto"/>
        <w:ind w:left="1077"/>
        <w:jc w:val="both"/>
        <w:rPr>
          <w:rFonts w:ascii="Open Sans" w:hAnsi="Open Sans" w:cs="Open Sans"/>
          <w:sz w:val="20"/>
          <w:szCs w:val="20"/>
          <w:lang w:val="en-US"/>
        </w:rPr>
      </w:pPr>
      <w:r w:rsidRPr="00511DDF">
        <w:rPr>
          <w:rFonts w:ascii="Open Sans" w:hAnsi="Open Sans" w:cs="Open Sans"/>
          <w:sz w:val="20"/>
          <w:szCs w:val="20"/>
          <w:lang w:val="en-US"/>
        </w:rPr>
        <w:t>Work under the direct supervision of UDP’s Regional Coordinator in providing all the outputs related to the project.</w:t>
      </w:r>
    </w:p>
    <w:p w14:paraId="0488CB82" w14:textId="77777777" w:rsidR="0036473D" w:rsidRPr="00511DDF" w:rsidRDefault="0036473D" w:rsidP="0036473D">
      <w:pPr>
        <w:pStyle w:val="ListParagraph"/>
        <w:numPr>
          <w:ilvl w:val="0"/>
          <w:numId w:val="17"/>
        </w:numPr>
        <w:spacing w:after="0" w:line="276" w:lineRule="auto"/>
        <w:ind w:left="1077"/>
        <w:jc w:val="both"/>
        <w:rPr>
          <w:rFonts w:ascii="Open Sans" w:hAnsi="Open Sans" w:cs="Open Sans"/>
          <w:sz w:val="20"/>
          <w:szCs w:val="20"/>
          <w:lang w:val="en-US"/>
        </w:rPr>
      </w:pPr>
      <w:r w:rsidRPr="00511DDF">
        <w:rPr>
          <w:rFonts w:ascii="Open Sans" w:eastAsia="Times New Roman" w:hAnsi="Open Sans" w:cs="Open Sans"/>
          <w:sz w:val="20"/>
          <w:szCs w:val="20"/>
          <w:lang w:val="en-US"/>
        </w:rPr>
        <w:t xml:space="preserve">Work in close coordination with the NDC Action National </w:t>
      </w:r>
      <w:r w:rsidRPr="00511DDF">
        <w:rPr>
          <w:rFonts w:ascii="Open Sans" w:hAnsi="Open Sans" w:cs="Open Sans"/>
          <w:sz w:val="20"/>
          <w:szCs w:val="20"/>
          <w:lang w:val="en-US"/>
        </w:rPr>
        <w:t>Project Focal Point and the National Project Coordinator both located within the CCD, and update them regularly on progress made, lessons learned, and challenges met.</w:t>
      </w:r>
    </w:p>
    <w:p w14:paraId="0EF3EAEF" w14:textId="77777777" w:rsidR="0036473D" w:rsidRPr="00511DDF" w:rsidRDefault="0036473D" w:rsidP="0036473D">
      <w:pPr>
        <w:pStyle w:val="ListParagraph"/>
        <w:numPr>
          <w:ilvl w:val="0"/>
          <w:numId w:val="17"/>
        </w:numPr>
        <w:spacing w:after="0" w:line="276" w:lineRule="auto"/>
        <w:ind w:left="1077"/>
        <w:jc w:val="both"/>
        <w:rPr>
          <w:rFonts w:ascii="Open Sans" w:hAnsi="Open Sans" w:cs="Open Sans"/>
          <w:sz w:val="20"/>
          <w:szCs w:val="20"/>
          <w:lang w:val="en-US"/>
        </w:rPr>
      </w:pPr>
      <w:r w:rsidRPr="00511DDF">
        <w:rPr>
          <w:rFonts w:ascii="Open Sans" w:hAnsi="Open Sans" w:cs="Open Sans"/>
          <w:sz w:val="20"/>
          <w:szCs w:val="20"/>
          <w:lang w:val="en-US"/>
        </w:rPr>
        <w:t>Organize regular phone calls with UDP’s Regional Coordinator, the NDC Action National Project Coordinator, and other relevant counterparts of the project as appropriate to ensure sharing all necessary information. A summary of the call with main results and action points will be prepared and distributed to the UDP’s Regional Coordinator and other relevant counterparts by the project lead within three business days of each call.</w:t>
      </w:r>
    </w:p>
    <w:p w14:paraId="483E06E6" w14:textId="77777777" w:rsidR="0036473D" w:rsidRPr="00511DDF" w:rsidRDefault="0036473D" w:rsidP="00706912">
      <w:pPr>
        <w:spacing w:after="0" w:line="276" w:lineRule="auto"/>
        <w:ind w:left="1080"/>
        <w:contextualSpacing/>
        <w:jc w:val="both"/>
        <w:rPr>
          <w:rFonts w:ascii="Open Sans" w:eastAsia="Times New Roman" w:hAnsi="Open Sans" w:cs="Open Sans"/>
          <w:sz w:val="20"/>
          <w:szCs w:val="20"/>
          <w:lang w:val="en-US"/>
        </w:rPr>
      </w:pPr>
    </w:p>
    <w:p w14:paraId="3A03D03C" w14:textId="2449281F" w:rsidR="0062119C" w:rsidRPr="00621D3B" w:rsidRDefault="0038438B" w:rsidP="0038438B">
      <w:pPr>
        <w:pStyle w:val="ListParagraph"/>
        <w:numPr>
          <w:ilvl w:val="0"/>
          <w:numId w:val="14"/>
        </w:numPr>
        <w:jc w:val="both"/>
        <w:rPr>
          <w:rFonts w:ascii="Open Sans" w:hAnsi="Open Sans"/>
          <w:sz w:val="20"/>
          <w:szCs w:val="20"/>
          <w:lang w:val="en-US"/>
        </w:rPr>
      </w:pPr>
      <w:r w:rsidRPr="0038438B">
        <w:rPr>
          <w:rFonts w:ascii="Open Sans" w:hAnsi="Open Sans" w:cs="Open Sans"/>
          <w:sz w:val="20"/>
          <w:szCs w:val="20"/>
        </w:rPr>
        <w:t>Project Lead</w:t>
      </w:r>
      <w:r w:rsidR="00621D3B" w:rsidRPr="008F0A25">
        <w:rPr>
          <w:rFonts w:ascii="Open Sans" w:hAnsi="Open Sans" w:cs="Arial"/>
          <w:sz w:val="20"/>
          <w:szCs w:val="20"/>
          <w:lang w:val="en-US"/>
        </w:rPr>
        <w:t>'</w:t>
      </w:r>
      <w:r w:rsidR="00621D3B">
        <w:rPr>
          <w:rFonts w:ascii="Open Sans" w:hAnsi="Open Sans" w:cs="Arial"/>
          <w:sz w:val="20"/>
          <w:szCs w:val="20"/>
          <w:lang w:val="en-US"/>
        </w:rPr>
        <w:t>s background:</w:t>
      </w:r>
    </w:p>
    <w:p w14:paraId="2603376C" w14:textId="407F47A0" w:rsidR="001D2F18" w:rsidRPr="001D2F18" w:rsidRDefault="001D2F18" w:rsidP="001D2F18">
      <w:pPr>
        <w:jc w:val="both"/>
        <w:rPr>
          <w:rFonts w:ascii="Open Sans" w:hAnsi="Open Sans"/>
          <w:sz w:val="20"/>
          <w:szCs w:val="20"/>
          <w:lang w:val="en-US"/>
        </w:rPr>
      </w:pPr>
      <w:r w:rsidRPr="001D2F18">
        <w:rPr>
          <w:rFonts w:ascii="Open Sans" w:hAnsi="Open Sans"/>
          <w:sz w:val="20"/>
          <w:szCs w:val="20"/>
          <w:lang w:val="en-US"/>
        </w:rPr>
        <w:t xml:space="preserve">Advanced University Degree (Master’s degree or equivalent) in Economics, Public Financial Management, Environmental Science, Law, or related fields of study. Background in other areas may be considered based on experience and performance in previous positions. A minimum of 10 years of progressively responsible relevant experience in economic development and sustainable development with focus on public and/or climate finance, climate change institutional and policy issues;  Demonstrate at least 7 years of experience on public and/or climate finance and policy design </w:t>
      </w:r>
      <w:r w:rsidRPr="001D2F18">
        <w:rPr>
          <w:rFonts w:ascii="Open Sans" w:hAnsi="Open Sans"/>
          <w:sz w:val="20"/>
          <w:szCs w:val="20"/>
          <w:lang w:val="en-US"/>
        </w:rPr>
        <w:lastRenderedPageBreak/>
        <w:t>issues with national governments and international organizations on international and national development in the context of climate change and sustainable development.</w:t>
      </w:r>
    </w:p>
    <w:p w14:paraId="5EE6F421" w14:textId="3F1BFBEC" w:rsidR="00646ACC" w:rsidRPr="00B230EB" w:rsidRDefault="0098425A" w:rsidP="00B230EB">
      <w:pPr>
        <w:pStyle w:val="ListParagraph"/>
        <w:numPr>
          <w:ilvl w:val="0"/>
          <w:numId w:val="18"/>
        </w:numPr>
        <w:jc w:val="both"/>
        <w:rPr>
          <w:rFonts w:ascii="Open Sans" w:hAnsi="Open Sans"/>
          <w:b/>
          <w:bCs/>
          <w:sz w:val="24"/>
          <w:szCs w:val="24"/>
          <w:lang w:val="en-US"/>
        </w:rPr>
      </w:pPr>
      <w:r w:rsidRPr="00B230EB">
        <w:rPr>
          <w:rFonts w:ascii="Open Sans" w:hAnsi="Open Sans"/>
          <w:b/>
          <w:bCs/>
          <w:sz w:val="24"/>
          <w:szCs w:val="24"/>
          <w:lang w:val="en-US"/>
        </w:rPr>
        <w:t xml:space="preserve">Activities and </w:t>
      </w:r>
      <w:r w:rsidR="00617BF2" w:rsidRPr="00B230EB">
        <w:rPr>
          <w:rFonts w:ascii="Open Sans" w:hAnsi="Open Sans"/>
          <w:b/>
          <w:bCs/>
          <w:sz w:val="24"/>
          <w:szCs w:val="24"/>
          <w:lang w:val="en-US"/>
        </w:rPr>
        <w:t>d</w:t>
      </w:r>
      <w:r w:rsidRPr="00B230EB">
        <w:rPr>
          <w:rFonts w:ascii="Open Sans" w:hAnsi="Open Sans"/>
          <w:b/>
          <w:bCs/>
          <w:sz w:val="24"/>
          <w:szCs w:val="24"/>
          <w:lang w:val="en-US"/>
        </w:rPr>
        <w:t>eliverables</w:t>
      </w:r>
    </w:p>
    <w:tbl>
      <w:tblPr>
        <w:tblStyle w:val="TableGrid"/>
        <w:tblW w:w="0" w:type="auto"/>
        <w:tblLook w:val="04A0" w:firstRow="1" w:lastRow="0" w:firstColumn="1" w:lastColumn="0" w:noHBand="0" w:noVBand="1"/>
      </w:tblPr>
      <w:tblGrid>
        <w:gridCol w:w="4414"/>
        <w:gridCol w:w="4414"/>
      </w:tblGrid>
      <w:tr w:rsidR="003A3156" w14:paraId="6E8186AE" w14:textId="77777777" w:rsidTr="00B15CA1">
        <w:tc>
          <w:tcPr>
            <w:tcW w:w="8828" w:type="dxa"/>
            <w:gridSpan w:val="2"/>
          </w:tcPr>
          <w:p w14:paraId="558F1E12" w14:textId="36750A0E" w:rsidR="003A3156" w:rsidRPr="00DA6768" w:rsidRDefault="003A3156" w:rsidP="008F0A25">
            <w:pPr>
              <w:jc w:val="both"/>
              <w:rPr>
                <w:rFonts w:ascii="Open Sans" w:hAnsi="Open Sans"/>
                <w:b/>
                <w:bCs/>
                <w:sz w:val="20"/>
                <w:szCs w:val="20"/>
                <w:lang w:val="en-US"/>
              </w:rPr>
            </w:pPr>
            <w:r w:rsidRPr="00DA6768">
              <w:rPr>
                <w:rFonts w:ascii="Open Sans" w:hAnsi="Open Sans"/>
                <w:b/>
                <w:bCs/>
                <w:sz w:val="20"/>
                <w:szCs w:val="20"/>
                <w:lang w:val="en-US"/>
              </w:rPr>
              <w:t>TASK 1:</w:t>
            </w:r>
            <w:r w:rsidR="002B0BC9">
              <w:rPr>
                <w:rFonts w:ascii="Open Sans" w:hAnsi="Open Sans"/>
                <w:b/>
                <w:bCs/>
                <w:sz w:val="20"/>
                <w:szCs w:val="20"/>
                <w:lang w:val="en-US"/>
              </w:rPr>
              <w:t xml:space="preserve"> </w:t>
            </w:r>
            <w:r w:rsidR="002B0BC9" w:rsidRPr="002B0BC9">
              <w:rPr>
                <w:rFonts w:ascii="Open Sans" w:hAnsi="Open Sans"/>
                <w:sz w:val="20"/>
                <w:szCs w:val="20"/>
                <w:lang w:val="en-US"/>
              </w:rPr>
              <w:t>Work Plan</w:t>
            </w:r>
            <w:r w:rsidR="002B0BC9">
              <w:rPr>
                <w:rFonts w:ascii="Open Sans" w:hAnsi="Open Sans"/>
                <w:b/>
                <w:bCs/>
                <w:sz w:val="20"/>
                <w:szCs w:val="20"/>
                <w:lang w:val="en-US"/>
              </w:rPr>
              <w:t xml:space="preserve"> </w:t>
            </w:r>
          </w:p>
        </w:tc>
      </w:tr>
      <w:tr w:rsidR="003A3156" w:rsidRPr="008F777C" w14:paraId="6C9C2E73" w14:textId="77777777" w:rsidTr="00B15CA1">
        <w:tc>
          <w:tcPr>
            <w:tcW w:w="8828" w:type="dxa"/>
            <w:gridSpan w:val="2"/>
          </w:tcPr>
          <w:p w14:paraId="7E7BC0B0" w14:textId="64619C0B" w:rsidR="003A3156" w:rsidRPr="007B63FF" w:rsidRDefault="002B0BC9" w:rsidP="007B63FF">
            <w:pPr>
              <w:rPr>
                <w:rFonts w:ascii="Open Sans" w:hAnsi="Open Sans"/>
                <w:sz w:val="20"/>
                <w:szCs w:val="20"/>
                <w:lang w:val="en-US"/>
              </w:rPr>
            </w:pPr>
            <w:r w:rsidRPr="007B63FF">
              <w:rPr>
                <w:rFonts w:ascii="Open Sans" w:hAnsi="Open Sans"/>
                <w:sz w:val="20"/>
                <w:szCs w:val="20"/>
                <w:u w:val="single"/>
                <w:lang w:val="en-US"/>
              </w:rPr>
              <w:t xml:space="preserve">Deliverable </w:t>
            </w:r>
            <w:r w:rsidR="007B63FF" w:rsidRPr="007B63FF">
              <w:rPr>
                <w:rFonts w:ascii="Open Sans" w:hAnsi="Open Sans"/>
                <w:sz w:val="20"/>
                <w:szCs w:val="20"/>
                <w:u w:val="single"/>
                <w:lang w:val="en-US"/>
              </w:rPr>
              <w:t>1:</w:t>
            </w:r>
            <w:r w:rsidR="007B63FF">
              <w:rPr>
                <w:rFonts w:ascii="Open Sans" w:hAnsi="Open Sans"/>
                <w:b/>
                <w:bCs/>
                <w:sz w:val="20"/>
                <w:szCs w:val="20"/>
                <w:lang w:val="en-US"/>
              </w:rPr>
              <w:t xml:space="preserve"> </w:t>
            </w:r>
            <w:r w:rsidRPr="002B0BC9">
              <w:rPr>
                <w:rFonts w:ascii="Open Sans" w:hAnsi="Open Sans"/>
                <w:sz w:val="20"/>
                <w:szCs w:val="20"/>
                <w:lang w:val="en-US"/>
              </w:rPr>
              <w:t>Develop an integrated work plan for the team of consultants to deliver the project outputs/activities</w:t>
            </w:r>
          </w:p>
        </w:tc>
      </w:tr>
      <w:tr w:rsidR="00065374" w:rsidRPr="008F777C" w14:paraId="7EAAF61B" w14:textId="77777777" w:rsidTr="00B15CA1">
        <w:tc>
          <w:tcPr>
            <w:tcW w:w="8828" w:type="dxa"/>
            <w:gridSpan w:val="2"/>
          </w:tcPr>
          <w:p w14:paraId="67A9F864" w14:textId="0C97794A" w:rsidR="00065374" w:rsidRPr="00A3485C" w:rsidRDefault="007B63FF" w:rsidP="008F0A25">
            <w:pPr>
              <w:jc w:val="both"/>
              <w:rPr>
                <w:rFonts w:ascii="Open Sans" w:hAnsi="Open Sans"/>
                <w:sz w:val="20"/>
                <w:szCs w:val="20"/>
                <w:lang w:val="en-US"/>
              </w:rPr>
            </w:pPr>
            <w:r w:rsidRPr="00DA6768">
              <w:rPr>
                <w:rFonts w:ascii="Open Sans" w:hAnsi="Open Sans"/>
                <w:b/>
                <w:bCs/>
                <w:sz w:val="20"/>
                <w:szCs w:val="20"/>
                <w:lang w:val="en-US"/>
              </w:rPr>
              <w:t xml:space="preserve">TASK </w:t>
            </w:r>
            <w:r>
              <w:rPr>
                <w:rFonts w:ascii="Open Sans" w:hAnsi="Open Sans"/>
                <w:b/>
                <w:bCs/>
                <w:sz w:val="20"/>
                <w:szCs w:val="20"/>
                <w:lang w:val="en-US"/>
              </w:rPr>
              <w:t>2</w:t>
            </w:r>
            <w:r w:rsidRPr="00DA6768">
              <w:rPr>
                <w:rFonts w:ascii="Open Sans" w:hAnsi="Open Sans"/>
                <w:b/>
                <w:bCs/>
                <w:sz w:val="20"/>
                <w:szCs w:val="20"/>
                <w:lang w:val="en-US"/>
              </w:rPr>
              <w:t>:</w:t>
            </w:r>
            <w:r>
              <w:rPr>
                <w:rFonts w:ascii="Open Sans" w:hAnsi="Open Sans"/>
                <w:b/>
                <w:bCs/>
                <w:sz w:val="20"/>
                <w:szCs w:val="20"/>
                <w:lang w:val="en-US"/>
              </w:rPr>
              <w:t xml:space="preserve"> </w:t>
            </w:r>
            <w:r w:rsidR="00052357" w:rsidRPr="00052357">
              <w:rPr>
                <w:rFonts w:ascii="Open Sans" w:hAnsi="Open Sans"/>
                <w:sz w:val="20"/>
                <w:szCs w:val="20"/>
                <w:lang w:val="en-US"/>
              </w:rPr>
              <w:t>Develop a c</w:t>
            </w:r>
            <w:r w:rsidR="00052357">
              <w:rPr>
                <w:rFonts w:ascii="Open Sans" w:hAnsi="Open Sans"/>
                <w:sz w:val="20"/>
                <w:szCs w:val="20"/>
                <w:lang w:val="en-US"/>
              </w:rPr>
              <w:t>omprehensive</w:t>
            </w:r>
            <w:r w:rsidR="000A13E4">
              <w:rPr>
                <w:rFonts w:ascii="Open Sans" w:hAnsi="Open Sans"/>
                <w:sz w:val="20"/>
                <w:szCs w:val="20"/>
                <w:lang w:val="en-US"/>
              </w:rPr>
              <w:t xml:space="preserve"> and contextualized</w:t>
            </w:r>
            <w:r w:rsidR="00052357">
              <w:rPr>
                <w:rFonts w:ascii="Open Sans" w:hAnsi="Open Sans"/>
                <w:sz w:val="20"/>
                <w:szCs w:val="20"/>
                <w:lang w:val="en-US"/>
              </w:rPr>
              <w:t xml:space="preserve"> </w:t>
            </w:r>
            <w:r w:rsidR="001B7848">
              <w:rPr>
                <w:rFonts w:ascii="Open Sans" w:hAnsi="Open Sans"/>
                <w:sz w:val="20"/>
                <w:szCs w:val="20"/>
                <w:lang w:val="en-US"/>
              </w:rPr>
              <w:t xml:space="preserve">climate-finance framework </w:t>
            </w:r>
            <w:r w:rsidR="000A13E4">
              <w:rPr>
                <w:rFonts w:ascii="Open Sans" w:hAnsi="Open Sans"/>
                <w:sz w:val="20"/>
                <w:szCs w:val="20"/>
                <w:lang w:val="en-US"/>
              </w:rPr>
              <w:t xml:space="preserve">that connects </w:t>
            </w:r>
            <w:r w:rsidR="00EC16F2">
              <w:rPr>
                <w:rFonts w:ascii="Open Sans" w:hAnsi="Open Sans"/>
                <w:sz w:val="20"/>
                <w:szCs w:val="20"/>
                <w:lang w:val="en-US"/>
              </w:rPr>
              <w:t xml:space="preserve">climate </w:t>
            </w:r>
            <w:r w:rsidR="00C00C3A">
              <w:rPr>
                <w:rFonts w:ascii="Open Sans" w:hAnsi="Open Sans"/>
                <w:sz w:val="20"/>
                <w:szCs w:val="20"/>
                <w:lang w:val="en-US"/>
              </w:rPr>
              <w:t xml:space="preserve">finance sources </w:t>
            </w:r>
            <w:r w:rsidR="003F7AF2">
              <w:rPr>
                <w:rFonts w:ascii="Open Sans" w:hAnsi="Open Sans"/>
                <w:sz w:val="20"/>
                <w:szCs w:val="20"/>
                <w:lang w:val="en-US"/>
              </w:rPr>
              <w:t>to</w:t>
            </w:r>
            <w:r w:rsidR="000B7197">
              <w:rPr>
                <w:rFonts w:ascii="Open Sans" w:hAnsi="Open Sans"/>
                <w:sz w:val="20"/>
                <w:szCs w:val="20"/>
                <w:lang w:val="en-US"/>
              </w:rPr>
              <w:t xml:space="preserve"> </w:t>
            </w:r>
            <w:r w:rsidR="003F7AF2">
              <w:rPr>
                <w:rFonts w:ascii="Open Sans" w:hAnsi="Open Sans"/>
                <w:sz w:val="20"/>
                <w:szCs w:val="20"/>
                <w:lang w:val="en-US"/>
              </w:rPr>
              <w:t xml:space="preserve">NDC’s </w:t>
            </w:r>
            <w:r w:rsidR="0089145B">
              <w:rPr>
                <w:rFonts w:ascii="Open Sans" w:hAnsi="Open Sans"/>
                <w:sz w:val="20"/>
                <w:szCs w:val="20"/>
                <w:lang w:val="en-US"/>
              </w:rPr>
              <w:t>goals and actions.</w:t>
            </w:r>
            <w:r w:rsidR="003F7AF2">
              <w:rPr>
                <w:rFonts w:ascii="Open Sans" w:hAnsi="Open Sans"/>
                <w:sz w:val="20"/>
                <w:szCs w:val="20"/>
                <w:lang w:val="en-US"/>
              </w:rPr>
              <w:t xml:space="preserve"> </w:t>
            </w:r>
          </w:p>
        </w:tc>
      </w:tr>
      <w:tr w:rsidR="00065374" w14:paraId="089FB003" w14:textId="77777777" w:rsidTr="00065374">
        <w:tc>
          <w:tcPr>
            <w:tcW w:w="4414" w:type="dxa"/>
          </w:tcPr>
          <w:p w14:paraId="7FB06B95" w14:textId="42B7AE7C" w:rsidR="00065374" w:rsidRPr="00DA6768" w:rsidRDefault="0069674B" w:rsidP="00DA6768">
            <w:pPr>
              <w:jc w:val="center"/>
              <w:rPr>
                <w:rFonts w:ascii="Open Sans" w:hAnsi="Open Sans"/>
                <w:b/>
                <w:bCs/>
                <w:sz w:val="20"/>
                <w:szCs w:val="20"/>
                <w:lang w:val="en-US"/>
              </w:rPr>
            </w:pPr>
            <w:r w:rsidRPr="00DA6768">
              <w:rPr>
                <w:rFonts w:ascii="Open Sans" w:hAnsi="Open Sans"/>
                <w:b/>
                <w:bCs/>
                <w:sz w:val="20"/>
                <w:szCs w:val="20"/>
                <w:lang w:val="en-US"/>
              </w:rPr>
              <w:t>Activities</w:t>
            </w:r>
          </w:p>
        </w:tc>
        <w:tc>
          <w:tcPr>
            <w:tcW w:w="4414" w:type="dxa"/>
          </w:tcPr>
          <w:p w14:paraId="2E1C240C" w14:textId="1BADB2AD" w:rsidR="00065374" w:rsidRPr="00DA6768" w:rsidRDefault="001036AF" w:rsidP="00DA6768">
            <w:pPr>
              <w:jc w:val="center"/>
              <w:rPr>
                <w:rFonts w:ascii="Open Sans" w:hAnsi="Open Sans"/>
                <w:b/>
                <w:bCs/>
                <w:sz w:val="20"/>
                <w:szCs w:val="20"/>
                <w:lang w:val="en-US"/>
              </w:rPr>
            </w:pPr>
            <w:r w:rsidRPr="00DA6768">
              <w:rPr>
                <w:rFonts w:ascii="Open Sans" w:hAnsi="Open Sans"/>
                <w:b/>
                <w:bCs/>
                <w:sz w:val="20"/>
                <w:szCs w:val="20"/>
                <w:lang w:val="en-US"/>
              </w:rPr>
              <w:t>Deliverables</w:t>
            </w:r>
          </w:p>
        </w:tc>
      </w:tr>
      <w:tr w:rsidR="00065374" w:rsidRPr="008F777C" w14:paraId="66421B18" w14:textId="77777777" w:rsidTr="00065374">
        <w:tc>
          <w:tcPr>
            <w:tcW w:w="4414" w:type="dxa"/>
          </w:tcPr>
          <w:p w14:paraId="32795870" w14:textId="73D7CCDF" w:rsidR="0026601E" w:rsidRPr="00101A5F" w:rsidRDefault="0088231C" w:rsidP="0026601E">
            <w:pPr>
              <w:pStyle w:val="ListParagraph"/>
              <w:numPr>
                <w:ilvl w:val="0"/>
                <w:numId w:val="2"/>
              </w:numPr>
              <w:jc w:val="both"/>
              <w:rPr>
                <w:rFonts w:ascii="Open Sans" w:hAnsi="Open Sans"/>
                <w:sz w:val="20"/>
                <w:szCs w:val="20"/>
                <w:lang w:val="en-US"/>
              </w:rPr>
            </w:pPr>
            <w:r w:rsidRPr="0088231C">
              <w:rPr>
                <w:rFonts w:ascii="Open Sans" w:eastAsia="Times New Roman" w:hAnsi="Open Sans" w:cs="Times New Roman"/>
                <w:color w:val="0E101A"/>
                <w:sz w:val="20"/>
                <w:szCs w:val="20"/>
                <w:lang w:val="en-US" w:eastAsia="es-CO"/>
              </w:rPr>
              <w:t>Analyze previous climate financing studies or projects led by the National Planning Department, SISCLIMA</w:t>
            </w:r>
            <w:r w:rsidRPr="008F0A25">
              <w:rPr>
                <w:rFonts w:ascii="Open Sans" w:hAnsi="Open Sans" w:cs="Arial"/>
                <w:sz w:val="20"/>
                <w:szCs w:val="20"/>
                <w:lang w:val="en-US"/>
              </w:rPr>
              <w:t>'</w:t>
            </w:r>
            <w:r w:rsidRPr="0088231C">
              <w:rPr>
                <w:rFonts w:ascii="Open Sans" w:eastAsia="Times New Roman" w:hAnsi="Open Sans" w:cs="Times New Roman"/>
                <w:color w:val="0E101A"/>
                <w:sz w:val="20"/>
                <w:szCs w:val="20"/>
                <w:lang w:val="en-US" w:eastAsia="es-CO"/>
              </w:rPr>
              <w:t xml:space="preserve">s Financial Management Committee, and other NDC stakeholders, to avoid duplication and evaluate starting points and synergies. Extract previously identified public and private climate finance sources at the domestic and international levels. This exercise should be furthermore complemented through consultations with </w:t>
            </w:r>
            <w:r w:rsidR="00A62FAA">
              <w:rPr>
                <w:rFonts w:ascii="Open Sans" w:eastAsia="Times New Roman" w:hAnsi="Open Sans" w:cs="Times New Roman"/>
                <w:color w:val="0E101A"/>
                <w:sz w:val="20"/>
                <w:szCs w:val="20"/>
                <w:lang w:val="en-US" w:eastAsia="es-CO"/>
              </w:rPr>
              <w:t xml:space="preserve">the </w:t>
            </w:r>
            <w:r w:rsidRPr="0088231C">
              <w:rPr>
                <w:rFonts w:ascii="Open Sans" w:eastAsia="Times New Roman" w:hAnsi="Open Sans" w:cs="Times New Roman"/>
                <w:color w:val="0E101A"/>
                <w:sz w:val="20"/>
                <w:szCs w:val="20"/>
                <w:lang w:val="en-US" w:eastAsia="es-CO"/>
              </w:rPr>
              <w:t>project</w:t>
            </w:r>
            <w:r w:rsidRPr="008F0A25">
              <w:rPr>
                <w:rFonts w:ascii="Open Sans" w:hAnsi="Open Sans" w:cs="Arial"/>
                <w:sz w:val="20"/>
                <w:szCs w:val="20"/>
                <w:lang w:val="en-US"/>
              </w:rPr>
              <w:t>'</w:t>
            </w:r>
            <w:r w:rsidRPr="0088231C">
              <w:rPr>
                <w:rFonts w:ascii="Open Sans" w:eastAsia="Times New Roman" w:hAnsi="Open Sans" w:cs="Times New Roman"/>
                <w:color w:val="0E101A"/>
                <w:sz w:val="20"/>
                <w:szCs w:val="20"/>
                <w:lang w:val="en-US" w:eastAsia="es-CO"/>
              </w:rPr>
              <w:t>s focal points.</w:t>
            </w:r>
          </w:p>
          <w:p w14:paraId="719FBDCD" w14:textId="77777777" w:rsidR="00101A5F" w:rsidRDefault="00101A5F" w:rsidP="00101A5F">
            <w:pPr>
              <w:pStyle w:val="ListParagraph"/>
              <w:jc w:val="both"/>
              <w:rPr>
                <w:rFonts w:ascii="Open Sans" w:hAnsi="Open Sans"/>
                <w:sz w:val="20"/>
                <w:szCs w:val="20"/>
                <w:lang w:val="en-US"/>
              </w:rPr>
            </w:pPr>
          </w:p>
          <w:p w14:paraId="4036BDE3" w14:textId="77777777" w:rsidR="00F52367" w:rsidRDefault="00051CAF" w:rsidP="00F52367">
            <w:pPr>
              <w:pStyle w:val="ListParagraph"/>
              <w:numPr>
                <w:ilvl w:val="0"/>
                <w:numId w:val="2"/>
              </w:numPr>
              <w:jc w:val="both"/>
              <w:rPr>
                <w:rFonts w:ascii="Open Sans" w:hAnsi="Open Sans"/>
                <w:sz w:val="20"/>
                <w:szCs w:val="20"/>
                <w:lang w:val="en-US"/>
              </w:rPr>
            </w:pPr>
            <w:r w:rsidRPr="00051CAF">
              <w:rPr>
                <w:rFonts w:ascii="Open Sans" w:hAnsi="Open Sans"/>
                <w:sz w:val="20"/>
                <w:szCs w:val="20"/>
                <w:lang w:val="en-US"/>
              </w:rPr>
              <w:t xml:space="preserve">With support from the Ministry of Environment and the NDC Action consultants, access and revise the most recent findings on financial needs and enabling conditions for implementing each NDC goal. </w:t>
            </w:r>
          </w:p>
          <w:p w14:paraId="0F1F7673" w14:textId="77777777" w:rsidR="00F52367" w:rsidRPr="00F52367" w:rsidRDefault="00F52367" w:rsidP="00F52367">
            <w:pPr>
              <w:pStyle w:val="ListParagraph"/>
              <w:rPr>
                <w:rFonts w:ascii="Open Sans" w:hAnsi="Open Sans"/>
                <w:sz w:val="20"/>
                <w:szCs w:val="20"/>
                <w:lang w:val="en-US"/>
              </w:rPr>
            </w:pPr>
          </w:p>
          <w:p w14:paraId="713019C9" w14:textId="02C49FF1" w:rsidR="00654EE1" w:rsidRPr="00F52367" w:rsidRDefault="00D814BA">
            <w:pPr>
              <w:pStyle w:val="ListParagraph"/>
              <w:numPr>
                <w:ilvl w:val="0"/>
                <w:numId w:val="2"/>
              </w:numPr>
              <w:jc w:val="both"/>
              <w:rPr>
                <w:rFonts w:ascii="Open Sans" w:hAnsi="Open Sans"/>
                <w:sz w:val="20"/>
                <w:szCs w:val="20"/>
                <w:lang w:val="en-US"/>
              </w:rPr>
            </w:pPr>
            <w:r>
              <w:rPr>
                <w:rFonts w:ascii="Open Sans" w:hAnsi="Open Sans"/>
                <w:sz w:val="20"/>
                <w:szCs w:val="20"/>
                <w:lang w:val="en-US"/>
              </w:rPr>
              <w:t>A</w:t>
            </w:r>
            <w:r w:rsidR="00C05DD4" w:rsidRPr="00D814BA">
              <w:rPr>
                <w:rFonts w:ascii="Open Sans" w:hAnsi="Open Sans"/>
                <w:sz w:val="20"/>
                <w:szCs w:val="20"/>
                <w:lang w:val="en-US"/>
              </w:rPr>
              <w:t>ssess the process of determining</w:t>
            </w:r>
            <w:r w:rsidR="00C05DD4" w:rsidRPr="00F52367">
              <w:rPr>
                <w:rFonts w:ascii="Open Sans" w:hAnsi="Open Sans"/>
                <w:sz w:val="20"/>
                <w:szCs w:val="20"/>
                <w:lang w:val="en-US"/>
              </w:rPr>
              <w:t xml:space="preserve"> and allocating the budget of </w:t>
            </w:r>
            <w:r w:rsidR="0008753A">
              <w:rPr>
                <w:rFonts w:ascii="Open Sans" w:hAnsi="Open Sans"/>
                <w:sz w:val="20"/>
                <w:szCs w:val="20"/>
                <w:lang w:val="en-US"/>
              </w:rPr>
              <w:t xml:space="preserve">responsible </w:t>
            </w:r>
            <w:r w:rsidR="00C05DD4" w:rsidRPr="00F52367">
              <w:rPr>
                <w:rFonts w:ascii="Open Sans" w:hAnsi="Open Sans"/>
                <w:sz w:val="20"/>
                <w:szCs w:val="20"/>
                <w:lang w:val="en-US"/>
              </w:rPr>
              <w:t>Ministries to priority NDC goals. Identify entry points and challenges for climate budgeting in national processes.</w:t>
            </w:r>
          </w:p>
        </w:tc>
        <w:tc>
          <w:tcPr>
            <w:tcW w:w="4414" w:type="dxa"/>
          </w:tcPr>
          <w:p w14:paraId="4938F1C0" w14:textId="77777777" w:rsidR="00FA4F8C" w:rsidRPr="00DB7321" w:rsidRDefault="00FA4F8C" w:rsidP="00DB7321">
            <w:pPr>
              <w:jc w:val="both"/>
              <w:rPr>
                <w:rFonts w:ascii="Open Sans" w:hAnsi="Open Sans"/>
                <w:sz w:val="20"/>
                <w:szCs w:val="20"/>
                <w:lang w:val="en-US"/>
              </w:rPr>
            </w:pPr>
          </w:p>
          <w:p w14:paraId="73108FF4" w14:textId="20631615" w:rsidR="00CA34FD" w:rsidRDefault="00ED36FA" w:rsidP="00CA34FD">
            <w:pPr>
              <w:pStyle w:val="ListParagraph"/>
              <w:numPr>
                <w:ilvl w:val="1"/>
                <w:numId w:val="9"/>
              </w:numPr>
              <w:jc w:val="both"/>
              <w:rPr>
                <w:rFonts w:ascii="Open Sans" w:hAnsi="Open Sans"/>
                <w:sz w:val="20"/>
                <w:szCs w:val="20"/>
                <w:lang w:val="en-US"/>
              </w:rPr>
            </w:pPr>
            <w:r>
              <w:rPr>
                <w:rFonts w:ascii="Open Sans" w:hAnsi="Open Sans"/>
                <w:sz w:val="20"/>
                <w:szCs w:val="20"/>
                <w:lang w:val="en-US"/>
              </w:rPr>
              <w:t>Metho</w:t>
            </w:r>
            <w:r w:rsidR="00D7038E">
              <w:rPr>
                <w:rFonts w:ascii="Open Sans" w:hAnsi="Open Sans"/>
                <w:sz w:val="20"/>
                <w:szCs w:val="20"/>
                <w:lang w:val="en-US"/>
              </w:rPr>
              <w:t>do</w:t>
            </w:r>
            <w:r>
              <w:rPr>
                <w:rFonts w:ascii="Open Sans" w:hAnsi="Open Sans"/>
                <w:sz w:val="20"/>
                <w:szCs w:val="20"/>
                <w:lang w:val="en-US"/>
              </w:rPr>
              <w:t>logy</w:t>
            </w:r>
            <w:r w:rsidR="00D7038E">
              <w:rPr>
                <w:rFonts w:ascii="Open Sans" w:hAnsi="Open Sans"/>
                <w:sz w:val="20"/>
                <w:szCs w:val="20"/>
                <w:lang w:val="en-US"/>
              </w:rPr>
              <w:t xml:space="preserve"> for stakeholder consultation, data collection</w:t>
            </w:r>
            <w:r w:rsidR="0030771D">
              <w:rPr>
                <w:rFonts w:ascii="Open Sans" w:hAnsi="Open Sans"/>
                <w:sz w:val="20"/>
                <w:szCs w:val="20"/>
                <w:lang w:val="en-US"/>
              </w:rPr>
              <w:t>,</w:t>
            </w:r>
            <w:r w:rsidR="00D7038E">
              <w:rPr>
                <w:rFonts w:ascii="Open Sans" w:hAnsi="Open Sans"/>
                <w:sz w:val="20"/>
                <w:szCs w:val="20"/>
                <w:lang w:val="en-US"/>
              </w:rPr>
              <w:t xml:space="preserve"> and analysis. </w:t>
            </w:r>
          </w:p>
          <w:p w14:paraId="1452F12F" w14:textId="77777777" w:rsidR="00CA34FD" w:rsidRDefault="00CA34FD" w:rsidP="00CA34FD">
            <w:pPr>
              <w:pStyle w:val="ListParagraph"/>
              <w:ind w:left="360"/>
              <w:jc w:val="both"/>
              <w:rPr>
                <w:rFonts w:ascii="Open Sans" w:hAnsi="Open Sans"/>
                <w:sz w:val="20"/>
                <w:szCs w:val="20"/>
                <w:lang w:val="en-US"/>
              </w:rPr>
            </w:pPr>
          </w:p>
          <w:p w14:paraId="44E49CC6" w14:textId="41AC1C40" w:rsidR="00CA34FD" w:rsidRPr="00CA34FD" w:rsidRDefault="00CA34FD" w:rsidP="00CA34FD">
            <w:pPr>
              <w:pStyle w:val="ListParagraph"/>
              <w:numPr>
                <w:ilvl w:val="1"/>
                <w:numId w:val="9"/>
              </w:numPr>
              <w:jc w:val="both"/>
              <w:rPr>
                <w:rFonts w:ascii="Open Sans" w:hAnsi="Open Sans"/>
                <w:sz w:val="20"/>
                <w:szCs w:val="20"/>
                <w:lang w:val="en-US"/>
              </w:rPr>
            </w:pPr>
            <w:r w:rsidRPr="00494310">
              <w:rPr>
                <w:rFonts w:ascii="Open Sans" w:hAnsi="Open Sans"/>
                <w:sz w:val="20"/>
                <w:szCs w:val="20"/>
                <w:lang w:val="en-US"/>
              </w:rPr>
              <w:t xml:space="preserve">Report contextualizing processes that would allow the development of climate national budgets, including a preliminary strategy that connects NDCs goals with </w:t>
            </w:r>
            <w:r w:rsidR="00F52367">
              <w:rPr>
                <w:rFonts w:ascii="Open Sans" w:hAnsi="Open Sans"/>
                <w:sz w:val="20"/>
                <w:szCs w:val="20"/>
                <w:lang w:val="en-US"/>
              </w:rPr>
              <w:t xml:space="preserve">domestic </w:t>
            </w:r>
            <w:r w:rsidRPr="00494310">
              <w:rPr>
                <w:rFonts w:ascii="Open Sans" w:hAnsi="Open Sans"/>
                <w:sz w:val="20"/>
                <w:szCs w:val="20"/>
                <w:lang w:val="en-US"/>
              </w:rPr>
              <w:t>finance sources.</w:t>
            </w:r>
          </w:p>
          <w:p w14:paraId="5D5A24C9" w14:textId="0F6060E5" w:rsidR="00F113DA" w:rsidRPr="00CA34FD" w:rsidRDefault="00F113DA" w:rsidP="00CA34FD">
            <w:pPr>
              <w:jc w:val="both"/>
              <w:rPr>
                <w:rFonts w:ascii="Open Sans" w:hAnsi="Open Sans"/>
                <w:sz w:val="20"/>
                <w:szCs w:val="20"/>
                <w:lang w:val="en-US"/>
              </w:rPr>
            </w:pPr>
          </w:p>
        </w:tc>
      </w:tr>
      <w:tr w:rsidR="00065374" w:rsidRPr="008F777C" w14:paraId="4B7AE26C" w14:textId="77777777" w:rsidTr="00065374">
        <w:tc>
          <w:tcPr>
            <w:tcW w:w="4414" w:type="dxa"/>
          </w:tcPr>
          <w:p w14:paraId="491741B1" w14:textId="2FCA96C8" w:rsidR="002428DB" w:rsidRDefault="00446353" w:rsidP="00941C36">
            <w:pPr>
              <w:pStyle w:val="ListParagraph"/>
              <w:numPr>
                <w:ilvl w:val="0"/>
                <w:numId w:val="2"/>
              </w:numPr>
              <w:jc w:val="both"/>
              <w:rPr>
                <w:rFonts w:ascii="Open Sans" w:hAnsi="Open Sans"/>
                <w:sz w:val="20"/>
                <w:szCs w:val="20"/>
                <w:lang w:val="en-US"/>
              </w:rPr>
            </w:pPr>
            <w:r w:rsidRPr="00446353">
              <w:rPr>
                <w:rFonts w:ascii="Open Sans" w:hAnsi="Open Sans"/>
                <w:sz w:val="20"/>
                <w:szCs w:val="20"/>
                <w:lang w:val="en-US"/>
              </w:rPr>
              <w:t xml:space="preserve">Create synergies with other NDC financing projects to extract inputs on </w:t>
            </w:r>
            <w:r w:rsidR="00B73887">
              <w:rPr>
                <w:rFonts w:ascii="Open Sans" w:hAnsi="Open Sans"/>
                <w:sz w:val="20"/>
                <w:szCs w:val="20"/>
                <w:lang w:val="en-US"/>
              </w:rPr>
              <w:t xml:space="preserve">NDC </w:t>
            </w:r>
            <w:r w:rsidRPr="00446353">
              <w:rPr>
                <w:rFonts w:ascii="Open Sans" w:hAnsi="Open Sans"/>
                <w:sz w:val="20"/>
                <w:szCs w:val="20"/>
                <w:lang w:val="en-US"/>
              </w:rPr>
              <w:t>cost estimates and alternative climate finance sources at subnational and local levels.</w:t>
            </w:r>
          </w:p>
          <w:p w14:paraId="37BEC87E" w14:textId="53BF3FCB" w:rsidR="00A62FAA" w:rsidRDefault="00A62FAA" w:rsidP="00941C36">
            <w:pPr>
              <w:pStyle w:val="ListParagraph"/>
              <w:numPr>
                <w:ilvl w:val="0"/>
                <w:numId w:val="2"/>
              </w:numPr>
              <w:jc w:val="both"/>
              <w:rPr>
                <w:rFonts w:ascii="Open Sans" w:hAnsi="Open Sans"/>
                <w:sz w:val="20"/>
                <w:szCs w:val="20"/>
                <w:lang w:val="en-US"/>
              </w:rPr>
            </w:pPr>
            <w:r w:rsidRPr="00A62FAA">
              <w:rPr>
                <w:rFonts w:ascii="Open Sans" w:hAnsi="Open Sans"/>
                <w:sz w:val="20"/>
                <w:szCs w:val="20"/>
                <w:lang w:val="en-US"/>
              </w:rPr>
              <w:t xml:space="preserve">In consultation with </w:t>
            </w:r>
            <w:r w:rsidR="0008753A">
              <w:rPr>
                <w:rFonts w:ascii="Open Sans" w:hAnsi="Open Sans"/>
                <w:sz w:val="20"/>
                <w:szCs w:val="20"/>
                <w:lang w:val="en-US"/>
              </w:rPr>
              <w:t>responsible</w:t>
            </w:r>
            <w:r w:rsidRPr="00A62FAA">
              <w:rPr>
                <w:rFonts w:ascii="Open Sans" w:hAnsi="Open Sans"/>
                <w:sz w:val="20"/>
                <w:szCs w:val="20"/>
                <w:lang w:val="en-US"/>
              </w:rPr>
              <w:t xml:space="preserve"> </w:t>
            </w:r>
            <w:r w:rsidR="0008753A">
              <w:rPr>
                <w:rFonts w:ascii="Open Sans" w:hAnsi="Open Sans"/>
                <w:sz w:val="20"/>
                <w:szCs w:val="20"/>
                <w:lang w:val="en-US"/>
              </w:rPr>
              <w:t>M</w:t>
            </w:r>
            <w:r w:rsidRPr="00A62FAA">
              <w:rPr>
                <w:rFonts w:ascii="Open Sans" w:hAnsi="Open Sans"/>
                <w:sz w:val="20"/>
                <w:szCs w:val="20"/>
                <w:lang w:val="en-US"/>
              </w:rPr>
              <w:t>inistries and based on the desegregation of the NDC actions and goals (</w:t>
            </w:r>
            <w:r w:rsidR="0008753A">
              <w:rPr>
                <w:rFonts w:ascii="Open Sans" w:hAnsi="Open Sans"/>
                <w:sz w:val="20"/>
                <w:szCs w:val="20"/>
                <w:lang w:val="en-US"/>
              </w:rPr>
              <w:t xml:space="preserve">reference to activity </w:t>
            </w:r>
            <w:r w:rsidRPr="00A62FAA">
              <w:rPr>
                <w:rFonts w:ascii="Open Sans" w:hAnsi="Open Sans"/>
                <w:sz w:val="20"/>
                <w:szCs w:val="20"/>
                <w:lang w:val="en-US"/>
              </w:rPr>
              <w:t>ii</w:t>
            </w:r>
            <w:r w:rsidR="0008753A">
              <w:rPr>
                <w:rFonts w:ascii="Open Sans" w:hAnsi="Open Sans"/>
                <w:sz w:val="20"/>
                <w:szCs w:val="20"/>
                <w:lang w:val="en-US"/>
              </w:rPr>
              <w:t xml:space="preserve"> above</w:t>
            </w:r>
            <w:r w:rsidRPr="00A62FAA">
              <w:rPr>
                <w:rFonts w:ascii="Open Sans" w:hAnsi="Open Sans"/>
                <w:sz w:val="20"/>
                <w:szCs w:val="20"/>
                <w:lang w:val="en-US"/>
              </w:rPr>
              <w:t xml:space="preserve">), identify specific finance sources and instruments with barriers and gaps for </w:t>
            </w:r>
            <w:r w:rsidRPr="00A62FAA">
              <w:rPr>
                <w:rFonts w:ascii="Open Sans" w:hAnsi="Open Sans"/>
                <w:sz w:val="20"/>
                <w:szCs w:val="20"/>
                <w:lang w:val="en-US"/>
              </w:rPr>
              <w:lastRenderedPageBreak/>
              <w:t xml:space="preserve">their implementation. Based on these analyses, propose mechanisms to finance each of the NDC's actions and </w:t>
            </w:r>
            <w:r w:rsidR="0008753A">
              <w:rPr>
                <w:rFonts w:ascii="Open Sans" w:hAnsi="Open Sans"/>
                <w:sz w:val="20"/>
                <w:szCs w:val="20"/>
                <w:lang w:val="en-US"/>
              </w:rPr>
              <w:t xml:space="preserve">their </w:t>
            </w:r>
            <w:r w:rsidRPr="00A62FAA">
              <w:rPr>
                <w:rFonts w:ascii="Open Sans" w:hAnsi="Open Sans"/>
                <w:sz w:val="20"/>
                <w:szCs w:val="20"/>
                <w:lang w:val="en-US"/>
              </w:rPr>
              <w:t>goals.</w:t>
            </w:r>
          </w:p>
          <w:p w14:paraId="11164D06" w14:textId="7916CFDA" w:rsidR="009B7295" w:rsidRPr="00AC4ED6" w:rsidRDefault="00AC4ED6" w:rsidP="00941C36">
            <w:pPr>
              <w:pStyle w:val="ListParagraph"/>
              <w:numPr>
                <w:ilvl w:val="0"/>
                <w:numId w:val="2"/>
              </w:numPr>
              <w:jc w:val="both"/>
              <w:rPr>
                <w:rFonts w:ascii="Open Sans" w:hAnsi="Open Sans"/>
                <w:sz w:val="20"/>
                <w:szCs w:val="20"/>
                <w:lang w:val="en-US"/>
              </w:rPr>
            </w:pPr>
            <w:r w:rsidRPr="00AC4ED6">
              <w:rPr>
                <w:rFonts w:ascii="Open Sans" w:hAnsi="Open Sans"/>
                <w:sz w:val="20"/>
                <w:szCs w:val="20"/>
                <w:lang w:val="en-US"/>
              </w:rPr>
              <w:t>Establish a roadmap or strategy to c</w:t>
            </w:r>
            <w:r w:rsidR="00001CF7" w:rsidRPr="00AC4ED6">
              <w:rPr>
                <w:rFonts w:ascii="Open Sans" w:hAnsi="Open Sans"/>
                <w:sz w:val="20"/>
                <w:szCs w:val="20"/>
                <w:lang w:val="en-US"/>
              </w:rPr>
              <w:t>onnect the needs and enabling conditions for each NDC goal with the climate finance sources</w:t>
            </w:r>
            <w:r w:rsidR="00C82124" w:rsidRPr="00AC4ED6">
              <w:rPr>
                <w:rFonts w:ascii="Open Sans" w:hAnsi="Open Sans"/>
                <w:sz w:val="20"/>
                <w:szCs w:val="20"/>
                <w:lang w:val="en-US"/>
              </w:rPr>
              <w:t xml:space="preserve"> identified in the previous steps</w:t>
            </w:r>
            <w:r w:rsidR="00224119">
              <w:rPr>
                <w:rFonts w:ascii="Open Sans" w:hAnsi="Open Sans"/>
                <w:sz w:val="20"/>
                <w:szCs w:val="20"/>
                <w:lang w:val="en-US"/>
              </w:rPr>
              <w:t xml:space="preserve"> (</w:t>
            </w:r>
            <w:r w:rsidR="00646658">
              <w:rPr>
                <w:rFonts w:ascii="Open Sans" w:hAnsi="Open Sans"/>
                <w:sz w:val="20"/>
                <w:szCs w:val="20"/>
                <w:lang w:val="en-US"/>
              </w:rPr>
              <w:t xml:space="preserve">reference to activities </w:t>
            </w:r>
            <w:proofErr w:type="spellStart"/>
            <w:r w:rsidR="00224119">
              <w:rPr>
                <w:rFonts w:ascii="Open Sans" w:hAnsi="Open Sans"/>
                <w:sz w:val="20"/>
                <w:szCs w:val="20"/>
                <w:lang w:val="en-US"/>
              </w:rPr>
              <w:t>i</w:t>
            </w:r>
            <w:proofErr w:type="spellEnd"/>
            <w:r w:rsidR="00224119">
              <w:rPr>
                <w:rFonts w:ascii="Open Sans" w:hAnsi="Open Sans"/>
                <w:sz w:val="20"/>
                <w:szCs w:val="20"/>
                <w:lang w:val="en-US"/>
              </w:rPr>
              <w:t>-v</w:t>
            </w:r>
            <w:r w:rsidR="00646658">
              <w:rPr>
                <w:rFonts w:ascii="Open Sans" w:hAnsi="Open Sans"/>
                <w:sz w:val="20"/>
                <w:szCs w:val="20"/>
                <w:lang w:val="en-US"/>
              </w:rPr>
              <w:t xml:space="preserve"> above</w:t>
            </w:r>
            <w:r w:rsidR="00224119">
              <w:rPr>
                <w:rFonts w:ascii="Open Sans" w:hAnsi="Open Sans"/>
                <w:sz w:val="20"/>
                <w:szCs w:val="20"/>
                <w:lang w:val="en-US"/>
              </w:rPr>
              <w:t>)</w:t>
            </w:r>
            <w:r w:rsidR="00C82124" w:rsidRPr="00AC4ED6">
              <w:rPr>
                <w:rFonts w:ascii="Open Sans" w:hAnsi="Open Sans"/>
                <w:sz w:val="20"/>
                <w:szCs w:val="20"/>
                <w:lang w:val="en-US"/>
              </w:rPr>
              <w:t xml:space="preserve">. </w:t>
            </w:r>
            <w:r w:rsidRPr="00AC4ED6">
              <w:rPr>
                <w:rFonts w:ascii="Open Sans" w:hAnsi="Open Sans"/>
                <w:sz w:val="20"/>
                <w:szCs w:val="20"/>
                <w:lang w:val="en-US"/>
              </w:rPr>
              <w:t>Furthermore, advise the national government on roadmap implementation</w:t>
            </w:r>
            <w:r w:rsidR="00224119">
              <w:rPr>
                <w:rFonts w:ascii="Open Sans" w:hAnsi="Open Sans"/>
                <w:sz w:val="20"/>
                <w:szCs w:val="20"/>
                <w:lang w:val="en-US"/>
              </w:rPr>
              <w:t xml:space="preserve"> and financial arrangements or instruments to canalize these funds for specific climate change actions</w:t>
            </w:r>
            <w:r w:rsidR="00D66619">
              <w:rPr>
                <w:rFonts w:ascii="Open Sans" w:hAnsi="Open Sans"/>
                <w:sz w:val="20"/>
                <w:szCs w:val="20"/>
                <w:lang w:val="en-US"/>
              </w:rPr>
              <w:t xml:space="preserve">. </w:t>
            </w:r>
          </w:p>
        </w:tc>
        <w:tc>
          <w:tcPr>
            <w:tcW w:w="4414" w:type="dxa"/>
          </w:tcPr>
          <w:p w14:paraId="5590F080" w14:textId="4C38881D" w:rsidR="00065374" w:rsidRDefault="00CA34FD" w:rsidP="00494310">
            <w:pPr>
              <w:pStyle w:val="ListParagraph"/>
              <w:numPr>
                <w:ilvl w:val="1"/>
                <w:numId w:val="9"/>
              </w:numPr>
              <w:jc w:val="both"/>
              <w:rPr>
                <w:rFonts w:ascii="Open Sans" w:hAnsi="Open Sans"/>
                <w:sz w:val="20"/>
                <w:szCs w:val="20"/>
                <w:lang w:val="en-US"/>
              </w:rPr>
            </w:pPr>
            <w:r w:rsidRPr="00806A59">
              <w:rPr>
                <w:rFonts w:ascii="Open Sans" w:hAnsi="Open Sans"/>
                <w:sz w:val="20"/>
                <w:szCs w:val="20"/>
                <w:lang w:val="en-US"/>
              </w:rPr>
              <w:lastRenderedPageBreak/>
              <w:t xml:space="preserve">Document containing </w:t>
            </w:r>
            <w:r>
              <w:rPr>
                <w:rFonts w:ascii="Open Sans" w:hAnsi="Open Sans"/>
                <w:sz w:val="20"/>
                <w:szCs w:val="20"/>
                <w:lang w:val="en-US"/>
              </w:rPr>
              <w:t xml:space="preserve">a roadmap/strategy to connect </w:t>
            </w:r>
            <w:r w:rsidRPr="00806A59">
              <w:rPr>
                <w:rFonts w:ascii="Open Sans" w:hAnsi="Open Sans"/>
                <w:sz w:val="20"/>
                <w:szCs w:val="20"/>
                <w:lang w:val="en-US"/>
              </w:rPr>
              <w:t>each NDC</w:t>
            </w:r>
            <w:r w:rsidR="00646658">
              <w:rPr>
                <w:rFonts w:ascii="Open Sans" w:hAnsi="Open Sans"/>
                <w:sz w:val="20"/>
                <w:szCs w:val="20"/>
                <w:lang w:val="en-US"/>
              </w:rPr>
              <w:t xml:space="preserve"> actions and</w:t>
            </w:r>
            <w:r w:rsidRPr="00806A59">
              <w:rPr>
                <w:rFonts w:ascii="Open Sans" w:hAnsi="Open Sans"/>
                <w:sz w:val="20"/>
                <w:szCs w:val="20"/>
                <w:lang w:val="en-US"/>
              </w:rPr>
              <w:t xml:space="preserve"> goal</w:t>
            </w:r>
            <w:r w:rsidR="00646658">
              <w:rPr>
                <w:rFonts w:ascii="Open Sans" w:hAnsi="Open Sans"/>
                <w:sz w:val="20"/>
                <w:szCs w:val="20"/>
                <w:lang w:val="en-US"/>
              </w:rPr>
              <w:t>s</w:t>
            </w:r>
            <w:r w:rsidRPr="00806A59">
              <w:rPr>
                <w:rFonts w:ascii="Open Sans" w:hAnsi="Open Sans"/>
                <w:sz w:val="20"/>
                <w:szCs w:val="20"/>
                <w:lang w:val="en-US"/>
              </w:rPr>
              <w:t xml:space="preserve"> with previously identified public and private climate finance sources at national and international level</w:t>
            </w:r>
            <w:r w:rsidR="002B015E">
              <w:rPr>
                <w:rFonts w:ascii="Open Sans" w:hAnsi="Open Sans"/>
                <w:sz w:val="20"/>
                <w:szCs w:val="20"/>
                <w:lang w:val="en-US"/>
              </w:rPr>
              <w:t>s</w:t>
            </w:r>
            <w:r>
              <w:rPr>
                <w:rFonts w:ascii="Open Sans" w:hAnsi="Open Sans"/>
                <w:sz w:val="20"/>
                <w:szCs w:val="20"/>
                <w:lang w:val="en-US"/>
              </w:rPr>
              <w:t>. Include</w:t>
            </w:r>
            <w:r w:rsidRPr="00806A59">
              <w:rPr>
                <w:rFonts w:ascii="Open Sans" w:hAnsi="Open Sans"/>
                <w:sz w:val="20"/>
                <w:szCs w:val="20"/>
                <w:lang w:val="en-US"/>
              </w:rPr>
              <w:t xml:space="preserve"> </w:t>
            </w:r>
            <w:r>
              <w:rPr>
                <w:rFonts w:ascii="Open Sans" w:hAnsi="Open Sans"/>
                <w:sz w:val="20"/>
                <w:szCs w:val="20"/>
                <w:lang w:val="en-US"/>
              </w:rPr>
              <w:t xml:space="preserve">for each </w:t>
            </w:r>
            <w:r w:rsidR="00646658">
              <w:rPr>
                <w:rFonts w:ascii="Open Sans" w:hAnsi="Open Sans"/>
                <w:sz w:val="20"/>
                <w:szCs w:val="20"/>
                <w:lang w:val="en-US"/>
              </w:rPr>
              <w:t xml:space="preserve">action and </w:t>
            </w:r>
            <w:r>
              <w:rPr>
                <w:rFonts w:ascii="Open Sans" w:hAnsi="Open Sans"/>
                <w:sz w:val="20"/>
                <w:szCs w:val="20"/>
                <w:lang w:val="en-US"/>
              </w:rPr>
              <w:t xml:space="preserve">goal </w:t>
            </w:r>
            <w:r w:rsidRPr="00806A59">
              <w:rPr>
                <w:rFonts w:ascii="Open Sans" w:hAnsi="Open Sans"/>
                <w:sz w:val="20"/>
                <w:szCs w:val="20"/>
                <w:lang w:val="en-US"/>
              </w:rPr>
              <w:t>barriers, opportunities, and recommendations to access finance source</w:t>
            </w:r>
            <w:r>
              <w:rPr>
                <w:rFonts w:ascii="Open Sans" w:hAnsi="Open Sans"/>
                <w:sz w:val="20"/>
                <w:szCs w:val="20"/>
                <w:lang w:val="en-US"/>
              </w:rPr>
              <w:t>s</w:t>
            </w:r>
            <w:r w:rsidRPr="00A965F2">
              <w:rPr>
                <w:rFonts w:ascii="Open Sans" w:hAnsi="Open Sans"/>
                <w:sz w:val="20"/>
                <w:szCs w:val="20"/>
                <w:lang w:val="en-US"/>
              </w:rPr>
              <w:t>.</w:t>
            </w:r>
          </w:p>
          <w:p w14:paraId="3636B4FC" w14:textId="77777777" w:rsidR="005469E0" w:rsidRDefault="005469E0" w:rsidP="005469E0">
            <w:pPr>
              <w:pStyle w:val="ListParagraph"/>
              <w:ind w:left="360"/>
              <w:jc w:val="both"/>
              <w:rPr>
                <w:rFonts w:ascii="Open Sans" w:hAnsi="Open Sans"/>
                <w:sz w:val="20"/>
                <w:szCs w:val="20"/>
                <w:lang w:val="en-US"/>
              </w:rPr>
            </w:pPr>
          </w:p>
          <w:p w14:paraId="1F95A8D6" w14:textId="29601741" w:rsidR="005469E0" w:rsidRPr="00494310" w:rsidRDefault="005469E0" w:rsidP="00494310">
            <w:pPr>
              <w:pStyle w:val="ListParagraph"/>
              <w:numPr>
                <w:ilvl w:val="1"/>
                <w:numId w:val="9"/>
              </w:numPr>
              <w:jc w:val="both"/>
              <w:rPr>
                <w:rFonts w:ascii="Open Sans" w:hAnsi="Open Sans"/>
                <w:sz w:val="20"/>
                <w:szCs w:val="20"/>
                <w:lang w:val="en-US"/>
              </w:rPr>
            </w:pPr>
            <w:r w:rsidRPr="00697189">
              <w:rPr>
                <w:rFonts w:ascii="Open Sans" w:hAnsi="Open Sans"/>
                <w:sz w:val="20"/>
                <w:szCs w:val="20"/>
                <w:lang w:val="en-US"/>
              </w:rPr>
              <w:lastRenderedPageBreak/>
              <w:t>Summary report of the roadmap for financing the NDC (</w:t>
            </w:r>
            <w:r w:rsidR="00646658">
              <w:rPr>
                <w:rFonts w:ascii="Open Sans" w:hAnsi="Open Sans"/>
                <w:sz w:val="20"/>
                <w:szCs w:val="20"/>
                <w:lang w:val="en-US"/>
              </w:rPr>
              <w:t xml:space="preserve">reference to deliverable </w:t>
            </w:r>
            <w:r w:rsidRPr="00697189">
              <w:rPr>
                <w:rFonts w:ascii="Open Sans" w:hAnsi="Open Sans"/>
                <w:sz w:val="20"/>
                <w:szCs w:val="20"/>
                <w:lang w:val="en-US"/>
              </w:rPr>
              <w:t>2.</w:t>
            </w:r>
            <w:r>
              <w:rPr>
                <w:rFonts w:ascii="Open Sans" w:hAnsi="Open Sans"/>
                <w:sz w:val="20"/>
                <w:szCs w:val="20"/>
                <w:lang w:val="en-US"/>
              </w:rPr>
              <w:t>3</w:t>
            </w:r>
            <w:r w:rsidR="00646658">
              <w:rPr>
                <w:rFonts w:ascii="Open Sans" w:hAnsi="Open Sans"/>
                <w:sz w:val="20"/>
                <w:szCs w:val="20"/>
                <w:lang w:val="en-US"/>
              </w:rPr>
              <w:t xml:space="preserve"> above</w:t>
            </w:r>
            <w:r w:rsidRPr="00697189">
              <w:rPr>
                <w:rFonts w:ascii="Open Sans" w:hAnsi="Open Sans"/>
                <w:sz w:val="20"/>
                <w:szCs w:val="20"/>
                <w:lang w:val="en-US"/>
              </w:rPr>
              <w:t>.)</w:t>
            </w:r>
          </w:p>
        </w:tc>
      </w:tr>
      <w:tr w:rsidR="00065374" w:rsidRPr="008F777C" w14:paraId="2A6BA714" w14:textId="77777777" w:rsidTr="00065374">
        <w:tc>
          <w:tcPr>
            <w:tcW w:w="4414" w:type="dxa"/>
          </w:tcPr>
          <w:p w14:paraId="444D2A6B" w14:textId="66AE1039" w:rsidR="00065374" w:rsidRPr="002742DA" w:rsidRDefault="00BA35BC">
            <w:pPr>
              <w:pStyle w:val="ListParagraph"/>
              <w:numPr>
                <w:ilvl w:val="0"/>
                <w:numId w:val="2"/>
              </w:numPr>
              <w:jc w:val="both"/>
              <w:rPr>
                <w:rFonts w:ascii="Open Sans" w:hAnsi="Open Sans"/>
                <w:sz w:val="20"/>
                <w:szCs w:val="20"/>
                <w:lang w:val="en-US"/>
              </w:rPr>
            </w:pPr>
            <w:r w:rsidRPr="002742DA">
              <w:rPr>
                <w:rFonts w:ascii="Open Sans" w:hAnsi="Open Sans"/>
                <w:sz w:val="20"/>
                <w:szCs w:val="20"/>
                <w:lang w:val="en-US"/>
              </w:rPr>
              <w:lastRenderedPageBreak/>
              <w:t>Produce guidance</w:t>
            </w:r>
            <w:r w:rsidR="00646658">
              <w:rPr>
                <w:rFonts w:ascii="Open Sans" w:hAnsi="Open Sans"/>
                <w:sz w:val="20"/>
                <w:szCs w:val="20"/>
                <w:lang w:val="en-US"/>
              </w:rPr>
              <w:t xml:space="preserve"> </w:t>
            </w:r>
            <w:r w:rsidR="00731C79" w:rsidRPr="002742DA">
              <w:rPr>
                <w:rFonts w:ascii="Open Sans" w:hAnsi="Open Sans"/>
                <w:sz w:val="20"/>
                <w:szCs w:val="20"/>
                <w:lang w:val="en-US"/>
              </w:rPr>
              <w:t>on</w:t>
            </w:r>
            <w:r w:rsidRPr="002742DA">
              <w:rPr>
                <w:rFonts w:ascii="Open Sans" w:hAnsi="Open Sans"/>
                <w:sz w:val="20"/>
                <w:szCs w:val="20"/>
                <w:lang w:val="en-US"/>
              </w:rPr>
              <w:t xml:space="preserve"> climate finance processes and NDC priorities</w:t>
            </w:r>
            <w:r w:rsidR="00646658">
              <w:rPr>
                <w:rFonts w:ascii="Open Sans" w:hAnsi="Open Sans"/>
                <w:sz w:val="20"/>
                <w:szCs w:val="20"/>
                <w:lang w:val="en-US"/>
              </w:rPr>
              <w:t xml:space="preserve"> during work sessions with key stakeholders</w:t>
            </w:r>
            <w:r w:rsidR="00CF0F29" w:rsidRPr="002742DA">
              <w:rPr>
                <w:rFonts w:ascii="Open Sans" w:hAnsi="Open Sans"/>
                <w:sz w:val="20"/>
                <w:szCs w:val="20"/>
                <w:lang w:val="en-US"/>
              </w:rPr>
              <w:t xml:space="preserve">. </w:t>
            </w:r>
            <w:r w:rsidR="009448D4" w:rsidRPr="002742DA">
              <w:rPr>
                <w:rFonts w:ascii="Open Sans" w:hAnsi="Open Sans"/>
                <w:sz w:val="20"/>
                <w:szCs w:val="20"/>
                <w:lang w:val="en-US"/>
              </w:rPr>
              <w:t>Support the Ministry o</w:t>
            </w:r>
            <w:r w:rsidR="006B5724" w:rsidRPr="002742DA">
              <w:rPr>
                <w:rFonts w:ascii="Open Sans" w:hAnsi="Open Sans"/>
                <w:sz w:val="20"/>
                <w:szCs w:val="20"/>
                <w:lang w:val="en-US"/>
              </w:rPr>
              <w:t>n</w:t>
            </w:r>
            <w:r w:rsidR="009448D4" w:rsidRPr="002742DA">
              <w:rPr>
                <w:rFonts w:ascii="Open Sans" w:hAnsi="Open Sans"/>
                <w:sz w:val="20"/>
                <w:szCs w:val="20"/>
                <w:lang w:val="en-US"/>
              </w:rPr>
              <w:t xml:space="preserve"> Environment</w:t>
            </w:r>
            <w:r w:rsidR="004F4C6A" w:rsidRPr="002742DA">
              <w:rPr>
                <w:rFonts w:ascii="Open Sans" w:hAnsi="Open Sans"/>
                <w:sz w:val="20"/>
                <w:szCs w:val="20"/>
                <w:lang w:val="en-US"/>
              </w:rPr>
              <w:t xml:space="preserve">, </w:t>
            </w:r>
            <w:r w:rsidR="007B2CDD" w:rsidRPr="002742DA">
              <w:rPr>
                <w:rFonts w:ascii="Open Sans" w:hAnsi="Open Sans"/>
                <w:sz w:val="20"/>
                <w:szCs w:val="20"/>
                <w:lang w:val="en-US"/>
              </w:rPr>
              <w:t>the National</w:t>
            </w:r>
            <w:r w:rsidR="009448D4" w:rsidRPr="002742DA">
              <w:rPr>
                <w:rFonts w:ascii="Open Sans" w:hAnsi="Open Sans"/>
                <w:sz w:val="20"/>
                <w:szCs w:val="20"/>
                <w:lang w:val="en-US"/>
              </w:rPr>
              <w:t xml:space="preserve"> Planning Department</w:t>
            </w:r>
            <w:r w:rsidR="00982B25" w:rsidRPr="002742DA">
              <w:rPr>
                <w:rFonts w:ascii="Open Sans" w:hAnsi="Open Sans"/>
                <w:sz w:val="20"/>
                <w:szCs w:val="20"/>
                <w:lang w:val="en-US"/>
              </w:rPr>
              <w:t>,</w:t>
            </w:r>
            <w:r w:rsidR="009448D4" w:rsidRPr="002742DA">
              <w:rPr>
                <w:rFonts w:ascii="Open Sans" w:hAnsi="Open Sans"/>
                <w:sz w:val="20"/>
                <w:szCs w:val="20"/>
                <w:lang w:val="en-US"/>
              </w:rPr>
              <w:t xml:space="preserve"> </w:t>
            </w:r>
            <w:r w:rsidR="004F4C6A" w:rsidRPr="002742DA">
              <w:rPr>
                <w:rFonts w:ascii="Open Sans" w:hAnsi="Open Sans"/>
                <w:sz w:val="20"/>
                <w:szCs w:val="20"/>
                <w:lang w:val="en-US"/>
              </w:rPr>
              <w:t>and the</w:t>
            </w:r>
            <w:r w:rsidR="002445B6" w:rsidRPr="0088231C">
              <w:rPr>
                <w:rFonts w:ascii="Open Sans" w:eastAsia="Times New Roman" w:hAnsi="Open Sans" w:cs="Times New Roman"/>
                <w:color w:val="0E101A"/>
                <w:sz w:val="20"/>
                <w:szCs w:val="20"/>
                <w:lang w:val="en-US" w:eastAsia="es-CO"/>
              </w:rPr>
              <w:t xml:space="preserve"> Financial Management Committee</w:t>
            </w:r>
            <w:r w:rsidR="004F4C6A" w:rsidRPr="002742DA">
              <w:rPr>
                <w:rFonts w:ascii="Open Sans" w:hAnsi="Open Sans"/>
                <w:sz w:val="20"/>
                <w:szCs w:val="20"/>
                <w:lang w:val="en-US"/>
              </w:rPr>
              <w:t xml:space="preserve"> </w:t>
            </w:r>
            <w:r w:rsidR="003F7C28" w:rsidRPr="002742DA">
              <w:rPr>
                <w:rFonts w:ascii="Open Sans" w:hAnsi="Open Sans"/>
                <w:sz w:val="20"/>
                <w:szCs w:val="20"/>
                <w:lang w:val="en-US"/>
              </w:rPr>
              <w:t>during wo</w:t>
            </w:r>
            <w:r w:rsidR="00731C79" w:rsidRPr="002742DA">
              <w:rPr>
                <w:rFonts w:ascii="Open Sans" w:hAnsi="Open Sans"/>
                <w:sz w:val="20"/>
                <w:szCs w:val="20"/>
                <w:lang w:val="en-US"/>
              </w:rPr>
              <w:t xml:space="preserve">rk sessions with </w:t>
            </w:r>
            <w:r w:rsidR="00646658">
              <w:rPr>
                <w:rFonts w:ascii="Open Sans" w:hAnsi="Open Sans"/>
                <w:sz w:val="20"/>
                <w:szCs w:val="20"/>
                <w:lang w:val="en-US"/>
              </w:rPr>
              <w:t>responsible</w:t>
            </w:r>
            <w:r w:rsidR="00731C79" w:rsidRPr="002742DA">
              <w:rPr>
                <w:rFonts w:ascii="Open Sans" w:hAnsi="Open Sans"/>
                <w:sz w:val="20"/>
                <w:szCs w:val="20"/>
                <w:lang w:val="en-US"/>
              </w:rPr>
              <w:t xml:space="preserve"> ministries</w:t>
            </w:r>
            <w:r w:rsidR="00742BC7" w:rsidRPr="002742DA">
              <w:rPr>
                <w:rFonts w:ascii="Open Sans" w:hAnsi="Open Sans"/>
                <w:sz w:val="20"/>
                <w:szCs w:val="20"/>
                <w:lang w:val="en-US"/>
              </w:rPr>
              <w:t>, territories,</w:t>
            </w:r>
            <w:r w:rsidR="00731C79" w:rsidRPr="002742DA">
              <w:rPr>
                <w:rFonts w:ascii="Open Sans" w:hAnsi="Open Sans"/>
                <w:sz w:val="20"/>
                <w:szCs w:val="20"/>
                <w:lang w:val="en-US"/>
              </w:rPr>
              <w:t xml:space="preserve"> and </w:t>
            </w:r>
            <w:r w:rsidR="00742BC7" w:rsidRPr="002742DA">
              <w:rPr>
                <w:rFonts w:ascii="Open Sans" w:hAnsi="Open Sans"/>
                <w:sz w:val="20"/>
                <w:szCs w:val="20"/>
                <w:lang w:val="en-US"/>
              </w:rPr>
              <w:t xml:space="preserve">other </w:t>
            </w:r>
            <w:r w:rsidR="00731C79" w:rsidRPr="002742DA">
              <w:rPr>
                <w:rFonts w:ascii="Open Sans" w:hAnsi="Open Sans"/>
                <w:sz w:val="20"/>
                <w:szCs w:val="20"/>
                <w:lang w:val="en-US"/>
              </w:rPr>
              <w:t xml:space="preserve">relevant stakeholders. </w:t>
            </w:r>
          </w:p>
        </w:tc>
        <w:tc>
          <w:tcPr>
            <w:tcW w:w="4414" w:type="dxa"/>
          </w:tcPr>
          <w:p w14:paraId="64BA8B75" w14:textId="12411ACE" w:rsidR="00065374" w:rsidRDefault="007B2CDD" w:rsidP="0007014A">
            <w:pPr>
              <w:pStyle w:val="ListParagraph"/>
              <w:numPr>
                <w:ilvl w:val="1"/>
                <w:numId w:val="9"/>
              </w:numPr>
              <w:jc w:val="both"/>
              <w:rPr>
                <w:rFonts w:ascii="Open Sans" w:hAnsi="Open Sans"/>
                <w:sz w:val="20"/>
                <w:szCs w:val="20"/>
                <w:lang w:val="en-US"/>
              </w:rPr>
            </w:pPr>
            <w:r w:rsidRPr="0007014A">
              <w:rPr>
                <w:rFonts w:ascii="Open Sans" w:hAnsi="Open Sans"/>
                <w:sz w:val="20"/>
                <w:szCs w:val="20"/>
                <w:lang w:val="en-US"/>
              </w:rPr>
              <w:t>S</w:t>
            </w:r>
            <w:r w:rsidR="00AF4EA4" w:rsidRPr="0007014A">
              <w:rPr>
                <w:rFonts w:ascii="Open Sans" w:hAnsi="Open Sans"/>
                <w:sz w:val="20"/>
                <w:szCs w:val="20"/>
                <w:lang w:val="en-US"/>
              </w:rPr>
              <w:t>ummary report</w:t>
            </w:r>
            <w:r w:rsidRPr="0007014A">
              <w:rPr>
                <w:rFonts w:ascii="Open Sans" w:hAnsi="Open Sans"/>
                <w:sz w:val="20"/>
                <w:szCs w:val="20"/>
                <w:lang w:val="en-US"/>
              </w:rPr>
              <w:t>s</w:t>
            </w:r>
            <w:r w:rsidR="00AF4EA4" w:rsidRPr="0007014A">
              <w:rPr>
                <w:rFonts w:ascii="Open Sans" w:hAnsi="Open Sans"/>
                <w:sz w:val="20"/>
                <w:szCs w:val="20"/>
                <w:lang w:val="en-US"/>
              </w:rPr>
              <w:t xml:space="preserve"> on</w:t>
            </w:r>
            <w:r w:rsidR="00A94FB3" w:rsidRPr="0007014A">
              <w:rPr>
                <w:rFonts w:ascii="Open Sans" w:hAnsi="Open Sans"/>
                <w:sz w:val="20"/>
                <w:szCs w:val="20"/>
                <w:lang w:val="en-US"/>
              </w:rPr>
              <w:t xml:space="preserve"> </w:t>
            </w:r>
            <w:r w:rsidRPr="0007014A">
              <w:rPr>
                <w:rFonts w:ascii="Open Sans" w:hAnsi="Open Sans"/>
                <w:sz w:val="20"/>
                <w:szCs w:val="20"/>
                <w:lang w:val="en-US"/>
              </w:rPr>
              <w:t xml:space="preserve">work sessions </w:t>
            </w:r>
            <w:r w:rsidR="00A94FB3" w:rsidRPr="0007014A">
              <w:rPr>
                <w:rFonts w:ascii="Open Sans" w:hAnsi="Open Sans"/>
                <w:sz w:val="20"/>
                <w:szCs w:val="20"/>
                <w:lang w:val="en-US"/>
              </w:rPr>
              <w:t xml:space="preserve">with relevant stakeholders </w:t>
            </w:r>
          </w:p>
          <w:p w14:paraId="5F6114E6" w14:textId="113621C7" w:rsidR="005469E0" w:rsidRPr="005469E0" w:rsidRDefault="005469E0" w:rsidP="005469E0">
            <w:pPr>
              <w:jc w:val="both"/>
              <w:rPr>
                <w:rFonts w:ascii="Open Sans" w:hAnsi="Open Sans"/>
                <w:sz w:val="20"/>
                <w:szCs w:val="20"/>
                <w:lang w:val="en-US"/>
              </w:rPr>
            </w:pPr>
          </w:p>
        </w:tc>
      </w:tr>
      <w:tr w:rsidR="00575D24" w:rsidRPr="008F777C" w14:paraId="1F96FE81" w14:textId="77777777" w:rsidTr="006E25CE">
        <w:tc>
          <w:tcPr>
            <w:tcW w:w="8828" w:type="dxa"/>
            <w:gridSpan w:val="2"/>
          </w:tcPr>
          <w:p w14:paraId="29DD085F" w14:textId="335DA5E7" w:rsidR="00575D24" w:rsidRDefault="00575D24" w:rsidP="008F0A25">
            <w:pPr>
              <w:jc w:val="both"/>
              <w:rPr>
                <w:rFonts w:ascii="Open Sans" w:hAnsi="Open Sans"/>
                <w:sz w:val="20"/>
                <w:szCs w:val="20"/>
                <w:lang w:val="en-US"/>
              </w:rPr>
            </w:pPr>
            <w:r w:rsidRPr="00DA6768">
              <w:rPr>
                <w:rFonts w:ascii="Open Sans" w:hAnsi="Open Sans"/>
                <w:b/>
                <w:bCs/>
                <w:sz w:val="20"/>
                <w:szCs w:val="20"/>
                <w:lang w:val="en-US"/>
              </w:rPr>
              <w:t xml:space="preserve">TASK </w:t>
            </w:r>
            <w:r w:rsidR="0007014A">
              <w:rPr>
                <w:rFonts w:ascii="Open Sans" w:hAnsi="Open Sans"/>
                <w:b/>
                <w:bCs/>
                <w:sz w:val="20"/>
                <w:szCs w:val="20"/>
                <w:lang w:val="en-US"/>
              </w:rPr>
              <w:t>3</w:t>
            </w:r>
            <w:r w:rsidRPr="00DA6768">
              <w:rPr>
                <w:rFonts w:ascii="Open Sans" w:hAnsi="Open Sans"/>
                <w:b/>
                <w:bCs/>
                <w:sz w:val="20"/>
                <w:szCs w:val="20"/>
                <w:lang w:val="en-US"/>
              </w:rPr>
              <w:t>:</w:t>
            </w:r>
            <w:r w:rsidR="00F33BF7">
              <w:rPr>
                <w:rFonts w:ascii="Open Sans" w:hAnsi="Open Sans"/>
                <w:b/>
                <w:bCs/>
                <w:sz w:val="20"/>
                <w:szCs w:val="20"/>
                <w:lang w:val="en-US"/>
              </w:rPr>
              <w:t xml:space="preserve"> </w:t>
            </w:r>
            <w:r w:rsidR="00F33BF7" w:rsidRPr="00D70E4B">
              <w:rPr>
                <w:rFonts w:ascii="Open Sans" w:hAnsi="Open Sans"/>
                <w:sz w:val="20"/>
                <w:szCs w:val="20"/>
                <w:lang w:val="en-US"/>
              </w:rPr>
              <w:t xml:space="preserve">Execute </w:t>
            </w:r>
            <w:r w:rsidR="00697189">
              <w:rPr>
                <w:rFonts w:ascii="Open Sans" w:hAnsi="Open Sans"/>
                <w:sz w:val="20"/>
                <w:szCs w:val="20"/>
                <w:lang w:val="en-US"/>
              </w:rPr>
              <w:t>work sessions</w:t>
            </w:r>
            <w:r w:rsidR="00F33BF7" w:rsidRPr="00D70E4B">
              <w:rPr>
                <w:rFonts w:ascii="Open Sans" w:hAnsi="Open Sans"/>
                <w:sz w:val="20"/>
                <w:szCs w:val="20"/>
                <w:lang w:val="en-US"/>
              </w:rPr>
              <w:t xml:space="preserve"> with financial sector actors focused on the development of </w:t>
            </w:r>
            <w:r w:rsidR="005040E0" w:rsidRPr="00D70E4B">
              <w:rPr>
                <w:rFonts w:ascii="Open Sans" w:hAnsi="Open Sans"/>
                <w:sz w:val="20"/>
                <w:szCs w:val="20"/>
                <w:lang w:val="en-US"/>
              </w:rPr>
              <w:t>financial</w:t>
            </w:r>
            <w:r w:rsidR="005040E0">
              <w:rPr>
                <w:rFonts w:ascii="Open Sans" w:hAnsi="Open Sans"/>
                <w:sz w:val="20"/>
                <w:szCs w:val="20"/>
                <w:lang w:val="en-US"/>
              </w:rPr>
              <w:t xml:space="preserve"> instruments </w:t>
            </w:r>
            <w:r w:rsidR="00F33BF7" w:rsidRPr="00D70E4B">
              <w:rPr>
                <w:rFonts w:ascii="Open Sans" w:hAnsi="Open Sans"/>
                <w:sz w:val="20"/>
                <w:szCs w:val="20"/>
                <w:lang w:val="en-US"/>
              </w:rPr>
              <w:t>and strengthening capacities in climate-related issues.</w:t>
            </w:r>
          </w:p>
        </w:tc>
      </w:tr>
      <w:tr w:rsidR="00575D24" w14:paraId="11E40BDB" w14:textId="77777777" w:rsidTr="00065374">
        <w:tc>
          <w:tcPr>
            <w:tcW w:w="4414" w:type="dxa"/>
          </w:tcPr>
          <w:p w14:paraId="38D306EE" w14:textId="0B228360" w:rsidR="00575D24" w:rsidRDefault="00575D24" w:rsidP="00575D24">
            <w:pPr>
              <w:jc w:val="center"/>
              <w:rPr>
                <w:rFonts w:ascii="Open Sans" w:hAnsi="Open Sans"/>
                <w:sz w:val="20"/>
                <w:szCs w:val="20"/>
                <w:lang w:val="en-US"/>
              </w:rPr>
            </w:pPr>
            <w:r w:rsidRPr="00DA6768">
              <w:rPr>
                <w:rFonts w:ascii="Open Sans" w:hAnsi="Open Sans"/>
                <w:b/>
                <w:bCs/>
                <w:sz w:val="20"/>
                <w:szCs w:val="20"/>
                <w:lang w:val="en-US"/>
              </w:rPr>
              <w:t>Activities</w:t>
            </w:r>
          </w:p>
        </w:tc>
        <w:tc>
          <w:tcPr>
            <w:tcW w:w="4414" w:type="dxa"/>
          </w:tcPr>
          <w:p w14:paraId="12BDAEB5" w14:textId="4616A6FB" w:rsidR="00575D24" w:rsidRDefault="00575D24" w:rsidP="00575D24">
            <w:pPr>
              <w:jc w:val="center"/>
              <w:rPr>
                <w:rFonts w:ascii="Open Sans" w:hAnsi="Open Sans"/>
                <w:sz w:val="20"/>
                <w:szCs w:val="20"/>
                <w:lang w:val="en-US"/>
              </w:rPr>
            </w:pPr>
            <w:r w:rsidRPr="00DA6768">
              <w:rPr>
                <w:rFonts w:ascii="Open Sans" w:hAnsi="Open Sans"/>
                <w:b/>
                <w:bCs/>
                <w:sz w:val="20"/>
                <w:szCs w:val="20"/>
                <w:lang w:val="en-US"/>
              </w:rPr>
              <w:t>Deliverables</w:t>
            </w:r>
          </w:p>
        </w:tc>
      </w:tr>
      <w:tr w:rsidR="00575D24" w:rsidRPr="008F777C" w14:paraId="0B54FA5B" w14:textId="77777777" w:rsidTr="00065374">
        <w:tc>
          <w:tcPr>
            <w:tcW w:w="4414" w:type="dxa"/>
          </w:tcPr>
          <w:p w14:paraId="29E778DA" w14:textId="3EB14E2C" w:rsidR="00575D24" w:rsidRPr="00855F8D" w:rsidRDefault="001377D2">
            <w:pPr>
              <w:pStyle w:val="ListParagraph"/>
              <w:numPr>
                <w:ilvl w:val="0"/>
                <w:numId w:val="10"/>
              </w:numPr>
              <w:jc w:val="both"/>
              <w:rPr>
                <w:rFonts w:ascii="Open Sans" w:hAnsi="Open Sans"/>
                <w:sz w:val="20"/>
                <w:szCs w:val="20"/>
                <w:lang w:val="en-US"/>
              </w:rPr>
            </w:pPr>
            <w:r w:rsidRPr="001377D2">
              <w:rPr>
                <w:rFonts w:ascii="Open Sans" w:hAnsi="Open Sans"/>
                <w:sz w:val="20"/>
                <w:szCs w:val="20"/>
                <w:lang w:val="en-US"/>
              </w:rPr>
              <w:t xml:space="preserve">In consultation with financial sector </w:t>
            </w:r>
            <w:r w:rsidR="00646658">
              <w:rPr>
                <w:rFonts w:ascii="Open Sans" w:hAnsi="Open Sans"/>
                <w:sz w:val="20"/>
                <w:szCs w:val="20"/>
                <w:lang w:val="en-US"/>
              </w:rPr>
              <w:t>stakeholders</w:t>
            </w:r>
            <w:r w:rsidRPr="001377D2">
              <w:rPr>
                <w:rFonts w:ascii="Open Sans" w:hAnsi="Open Sans"/>
                <w:sz w:val="20"/>
                <w:szCs w:val="20"/>
                <w:lang w:val="en-US"/>
              </w:rPr>
              <w:t>, assess capacity gaps and needs for advancing climate finance mechanisms within the financial sector with a special focus on microfinance institutions.</w:t>
            </w:r>
          </w:p>
        </w:tc>
        <w:tc>
          <w:tcPr>
            <w:tcW w:w="4414" w:type="dxa"/>
          </w:tcPr>
          <w:p w14:paraId="301406C8" w14:textId="6047622D" w:rsidR="00575D24" w:rsidRDefault="00537E07" w:rsidP="00575D24">
            <w:pPr>
              <w:jc w:val="both"/>
              <w:rPr>
                <w:rFonts w:ascii="Open Sans" w:hAnsi="Open Sans"/>
                <w:sz w:val="20"/>
                <w:szCs w:val="20"/>
                <w:lang w:val="en-US"/>
              </w:rPr>
            </w:pPr>
            <w:r>
              <w:rPr>
                <w:rFonts w:ascii="Open Sans" w:hAnsi="Open Sans"/>
                <w:sz w:val="20"/>
                <w:szCs w:val="20"/>
                <w:lang w:val="en-US"/>
              </w:rPr>
              <w:t>3.1</w:t>
            </w:r>
            <w:r w:rsidR="004F73B8">
              <w:rPr>
                <w:rFonts w:ascii="Open Sans" w:hAnsi="Open Sans"/>
                <w:sz w:val="20"/>
                <w:szCs w:val="20"/>
                <w:lang w:val="en-US"/>
              </w:rPr>
              <w:t>.</w:t>
            </w:r>
            <w:r>
              <w:rPr>
                <w:rFonts w:ascii="Open Sans" w:hAnsi="Open Sans"/>
                <w:sz w:val="20"/>
                <w:szCs w:val="20"/>
                <w:lang w:val="en-US"/>
              </w:rPr>
              <w:t xml:space="preserve"> Summary report </w:t>
            </w:r>
            <w:r w:rsidR="008F6B8D">
              <w:rPr>
                <w:rFonts w:ascii="Open Sans" w:hAnsi="Open Sans"/>
                <w:sz w:val="20"/>
                <w:szCs w:val="20"/>
                <w:lang w:val="en-US"/>
              </w:rPr>
              <w:t xml:space="preserve">on gaps and needs with recommendations </w:t>
            </w:r>
          </w:p>
        </w:tc>
      </w:tr>
      <w:tr w:rsidR="00575D24" w:rsidRPr="008F777C" w14:paraId="00FE9D7F" w14:textId="77777777" w:rsidTr="00065374">
        <w:tc>
          <w:tcPr>
            <w:tcW w:w="4414" w:type="dxa"/>
          </w:tcPr>
          <w:p w14:paraId="5030BD1F" w14:textId="2499EF55" w:rsidR="00575D24" w:rsidRPr="00B66178" w:rsidRDefault="00440668">
            <w:pPr>
              <w:pStyle w:val="ListParagraph"/>
              <w:numPr>
                <w:ilvl w:val="0"/>
                <w:numId w:val="11"/>
              </w:numPr>
              <w:jc w:val="both"/>
              <w:rPr>
                <w:rFonts w:ascii="Open Sans" w:hAnsi="Open Sans"/>
                <w:sz w:val="20"/>
                <w:szCs w:val="20"/>
                <w:lang w:val="en-US"/>
              </w:rPr>
            </w:pPr>
            <w:r w:rsidRPr="00440668">
              <w:rPr>
                <w:rFonts w:ascii="Open Sans" w:hAnsi="Open Sans"/>
                <w:sz w:val="20"/>
                <w:szCs w:val="20"/>
                <w:lang w:val="en-US"/>
              </w:rPr>
              <w:t>Design and</w:t>
            </w:r>
            <w:r w:rsidR="00646658">
              <w:rPr>
                <w:rFonts w:ascii="Open Sans" w:hAnsi="Open Sans"/>
                <w:sz w:val="20"/>
                <w:szCs w:val="20"/>
                <w:lang w:val="en-US"/>
              </w:rPr>
              <w:t xml:space="preserve"> execut</w:t>
            </w:r>
            <w:r w:rsidR="008F777C">
              <w:rPr>
                <w:rFonts w:ascii="Open Sans" w:hAnsi="Open Sans"/>
                <w:sz w:val="20"/>
                <w:szCs w:val="20"/>
                <w:lang w:val="en-US"/>
              </w:rPr>
              <w:t>e</w:t>
            </w:r>
            <w:r w:rsidRPr="00440668">
              <w:rPr>
                <w:rFonts w:ascii="Open Sans" w:hAnsi="Open Sans"/>
                <w:sz w:val="20"/>
                <w:szCs w:val="20"/>
                <w:lang w:val="en-US"/>
              </w:rPr>
              <w:t xml:space="preserve"> capacity-building workshops for focus groups at the national and/or sub-national level based on </w:t>
            </w:r>
            <w:r w:rsidR="00646658">
              <w:rPr>
                <w:rFonts w:ascii="Open Sans" w:hAnsi="Open Sans"/>
                <w:sz w:val="20"/>
                <w:szCs w:val="20"/>
                <w:lang w:val="en-US"/>
              </w:rPr>
              <w:t>previous finding</w:t>
            </w:r>
            <w:r w:rsidR="008F777C">
              <w:rPr>
                <w:rFonts w:ascii="Open Sans" w:hAnsi="Open Sans"/>
                <w:sz w:val="20"/>
                <w:szCs w:val="20"/>
                <w:lang w:val="en-US"/>
              </w:rPr>
              <w:t>s</w:t>
            </w:r>
            <w:r w:rsidR="00646658">
              <w:rPr>
                <w:rFonts w:ascii="Open Sans" w:hAnsi="Open Sans"/>
                <w:sz w:val="20"/>
                <w:szCs w:val="20"/>
                <w:lang w:val="en-US"/>
              </w:rPr>
              <w:t xml:space="preserve"> (reference to deliverable </w:t>
            </w:r>
            <w:r w:rsidRPr="00440668">
              <w:rPr>
                <w:rFonts w:ascii="Open Sans" w:hAnsi="Open Sans"/>
                <w:sz w:val="20"/>
                <w:szCs w:val="20"/>
                <w:lang w:val="en-US"/>
              </w:rPr>
              <w:t>3.1</w:t>
            </w:r>
            <w:r w:rsidR="00646658">
              <w:rPr>
                <w:rFonts w:ascii="Open Sans" w:hAnsi="Open Sans"/>
                <w:sz w:val="20"/>
                <w:szCs w:val="20"/>
                <w:lang w:val="en-US"/>
              </w:rPr>
              <w:t xml:space="preserve"> above).</w:t>
            </w:r>
            <w:r w:rsidRPr="00440668">
              <w:rPr>
                <w:rFonts w:ascii="Open Sans" w:hAnsi="Open Sans"/>
                <w:sz w:val="20"/>
                <w:szCs w:val="20"/>
                <w:lang w:val="en-US"/>
              </w:rPr>
              <w:t xml:space="preserve">  </w:t>
            </w:r>
          </w:p>
        </w:tc>
        <w:tc>
          <w:tcPr>
            <w:tcW w:w="4414" w:type="dxa"/>
          </w:tcPr>
          <w:p w14:paraId="78D43B94" w14:textId="2693ADCC" w:rsidR="00575D24" w:rsidRDefault="004F73B8" w:rsidP="00575D24">
            <w:pPr>
              <w:jc w:val="both"/>
              <w:rPr>
                <w:rFonts w:ascii="Open Sans" w:hAnsi="Open Sans"/>
                <w:sz w:val="20"/>
                <w:szCs w:val="20"/>
                <w:lang w:val="en-US"/>
              </w:rPr>
            </w:pPr>
            <w:r>
              <w:rPr>
                <w:rFonts w:ascii="Open Sans" w:hAnsi="Open Sans"/>
                <w:sz w:val="20"/>
                <w:szCs w:val="20"/>
                <w:lang w:val="en-US"/>
              </w:rPr>
              <w:t xml:space="preserve">3.2. </w:t>
            </w:r>
            <w:r w:rsidRPr="0007014A">
              <w:rPr>
                <w:rFonts w:ascii="Open Sans" w:hAnsi="Open Sans"/>
                <w:sz w:val="20"/>
                <w:szCs w:val="20"/>
                <w:lang w:val="en-US"/>
              </w:rPr>
              <w:t>Summary reports on trainings</w:t>
            </w:r>
            <w:r w:rsidR="00963597">
              <w:rPr>
                <w:rFonts w:ascii="Open Sans" w:hAnsi="Open Sans"/>
                <w:sz w:val="20"/>
                <w:szCs w:val="20"/>
                <w:lang w:val="en-US"/>
              </w:rPr>
              <w:t xml:space="preserve"> </w:t>
            </w:r>
            <w:r w:rsidRPr="0007014A">
              <w:rPr>
                <w:rFonts w:ascii="Open Sans" w:hAnsi="Open Sans"/>
                <w:sz w:val="20"/>
                <w:szCs w:val="20"/>
                <w:lang w:val="en-US"/>
              </w:rPr>
              <w:t>sessions with relevant stakeholders</w:t>
            </w:r>
            <w:r w:rsidR="00646658">
              <w:rPr>
                <w:rFonts w:ascii="Open Sans" w:hAnsi="Open Sans"/>
                <w:sz w:val="20"/>
                <w:szCs w:val="20"/>
                <w:lang w:val="en-US"/>
              </w:rPr>
              <w:t>.</w:t>
            </w:r>
          </w:p>
        </w:tc>
      </w:tr>
      <w:tr w:rsidR="00575D24" w:rsidRPr="008F777C" w14:paraId="39D31D1C" w14:textId="77777777" w:rsidTr="00065374">
        <w:tc>
          <w:tcPr>
            <w:tcW w:w="4414" w:type="dxa"/>
          </w:tcPr>
          <w:p w14:paraId="7A6F5C41" w14:textId="2D39DBD1" w:rsidR="00575D24" w:rsidRDefault="003009A5" w:rsidP="00B264D7">
            <w:pPr>
              <w:pStyle w:val="ListParagraph"/>
              <w:numPr>
                <w:ilvl w:val="0"/>
                <w:numId w:val="12"/>
              </w:numPr>
              <w:jc w:val="both"/>
              <w:rPr>
                <w:rFonts w:ascii="Open Sans" w:hAnsi="Open Sans"/>
                <w:sz w:val="20"/>
                <w:szCs w:val="20"/>
                <w:lang w:val="en-US"/>
              </w:rPr>
            </w:pPr>
            <w:r w:rsidRPr="003009A5">
              <w:rPr>
                <w:rFonts w:ascii="Open Sans" w:hAnsi="Open Sans"/>
                <w:sz w:val="20"/>
                <w:szCs w:val="20"/>
                <w:lang w:val="en-US"/>
              </w:rPr>
              <w:t xml:space="preserve">In consultation with the Ministry of Environment and the National Planning Department, conduct </w:t>
            </w:r>
            <w:r w:rsidR="00995B16">
              <w:rPr>
                <w:rFonts w:ascii="Open Sans" w:hAnsi="Open Sans"/>
                <w:sz w:val="20"/>
                <w:szCs w:val="20"/>
                <w:lang w:val="en-US"/>
              </w:rPr>
              <w:t xml:space="preserve">work sessions </w:t>
            </w:r>
            <w:r w:rsidRPr="003009A5">
              <w:rPr>
                <w:rFonts w:ascii="Open Sans" w:hAnsi="Open Sans"/>
                <w:sz w:val="20"/>
                <w:szCs w:val="20"/>
                <w:lang w:val="en-US"/>
              </w:rPr>
              <w:t>with selected first and second-tier banks</w:t>
            </w:r>
            <w:r w:rsidR="00AA0201">
              <w:rPr>
                <w:rFonts w:ascii="Open Sans" w:hAnsi="Open Sans"/>
                <w:sz w:val="20"/>
                <w:szCs w:val="20"/>
                <w:lang w:val="en-US"/>
              </w:rPr>
              <w:t xml:space="preserve"> and/or insurers</w:t>
            </w:r>
            <w:r w:rsidRPr="003009A5">
              <w:rPr>
                <w:rFonts w:ascii="Open Sans" w:hAnsi="Open Sans"/>
                <w:sz w:val="20"/>
                <w:szCs w:val="20"/>
                <w:lang w:val="en-US"/>
              </w:rPr>
              <w:t xml:space="preserve"> to support the development of financial mechanisms for 2 priority sectors.</w:t>
            </w:r>
          </w:p>
          <w:p w14:paraId="42ECC703" w14:textId="5AD393AE" w:rsidR="00B0390F" w:rsidRPr="00B264D7" w:rsidRDefault="00B0390F" w:rsidP="00B264D7">
            <w:pPr>
              <w:pStyle w:val="ListParagraph"/>
              <w:numPr>
                <w:ilvl w:val="0"/>
                <w:numId w:val="12"/>
              </w:numPr>
              <w:jc w:val="both"/>
              <w:rPr>
                <w:rFonts w:ascii="Open Sans" w:hAnsi="Open Sans"/>
                <w:sz w:val="20"/>
                <w:szCs w:val="20"/>
                <w:lang w:val="en-US"/>
              </w:rPr>
            </w:pPr>
            <w:r w:rsidRPr="00BA35BC">
              <w:rPr>
                <w:rFonts w:ascii="Open Sans" w:hAnsi="Open Sans"/>
                <w:sz w:val="20"/>
                <w:szCs w:val="20"/>
                <w:lang w:val="en-US"/>
              </w:rPr>
              <w:t>Produce guidance/training material on climate finance pr</w:t>
            </w:r>
            <w:r>
              <w:rPr>
                <w:rFonts w:ascii="Open Sans" w:hAnsi="Open Sans"/>
                <w:sz w:val="20"/>
                <w:szCs w:val="20"/>
                <w:lang w:val="en-US"/>
              </w:rPr>
              <w:t xml:space="preserve">oducts. Support the Ministry on Environment and the </w:t>
            </w:r>
            <w:r>
              <w:rPr>
                <w:rFonts w:ascii="Open Sans" w:hAnsi="Open Sans"/>
                <w:sz w:val="20"/>
                <w:szCs w:val="20"/>
                <w:lang w:val="en-US"/>
              </w:rPr>
              <w:lastRenderedPageBreak/>
              <w:t xml:space="preserve">National Planning Department during work sessions with </w:t>
            </w:r>
            <w:r w:rsidR="00CE5CC2">
              <w:rPr>
                <w:rFonts w:ascii="Open Sans" w:hAnsi="Open Sans"/>
                <w:sz w:val="20"/>
                <w:szCs w:val="20"/>
                <w:lang w:val="en-US"/>
              </w:rPr>
              <w:t>banks and insurers</w:t>
            </w:r>
            <w:r w:rsidR="007139FB">
              <w:rPr>
                <w:rFonts w:ascii="Open Sans" w:hAnsi="Open Sans"/>
                <w:sz w:val="20"/>
                <w:szCs w:val="20"/>
                <w:lang w:val="en-US"/>
              </w:rPr>
              <w:t>.</w:t>
            </w:r>
          </w:p>
        </w:tc>
        <w:tc>
          <w:tcPr>
            <w:tcW w:w="4414" w:type="dxa"/>
          </w:tcPr>
          <w:p w14:paraId="2FB6021D" w14:textId="0B103817" w:rsidR="00FA6660" w:rsidRDefault="00FA6660" w:rsidP="00575D24">
            <w:pPr>
              <w:jc w:val="both"/>
              <w:rPr>
                <w:rFonts w:ascii="Open Sans" w:hAnsi="Open Sans"/>
                <w:sz w:val="20"/>
                <w:szCs w:val="20"/>
                <w:lang w:val="en-US"/>
              </w:rPr>
            </w:pPr>
            <w:r>
              <w:rPr>
                <w:rFonts w:ascii="Open Sans" w:hAnsi="Open Sans"/>
                <w:sz w:val="20"/>
                <w:szCs w:val="20"/>
                <w:lang w:val="en-US"/>
              </w:rPr>
              <w:lastRenderedPageBreak/>
              <w:t>3.3. Summary reports on opportunities for the dev</w:t>
            </w:r>
            <w:r w:rsidR="00CD05B3">
              <w:rPr>
                <w:rFonts w:ascii="Open Sans" w:hAnsi="Open Sans"/>
                <w:sz w:val="20"/>
                <w:szCs w:val="20"/>
                <w:lang w:val="en-US"/>
              </w:rPr>
              <w:t xml:space="preserve">elopment of financial mechanisms. </w:t>
            </w:r>
          </w:p>
          <w:p w14:paraId="50087D7B" w14:textId="77777777" w:rsidR="00FA6660" w:rsidRDefault="00FA6660" w:rsidP="00575D24">
            <w:pPr>
              <w:jc w:val="both"/>
              <w:rPr>
                <w:rFonts w:ascii="Open Sans" w:hAnsi="Open Sans"/>
                <w:sz w:val="20"/>
                <w:szCs w:val="20"/>
                <w:lang w:val="en-US"/>
              </w:rPr>
            </w:pPr>
          </w:p>
          <w:p w14:paraId="109B8893" w14:textId="7511694E" w:rsidR="00575D24" w:rsidRDefault="000420FB" w:rsidP="00575D24">
            <w:pPr>
              <w:jc w:val="both"/>
              <w:rPr>
                <w:rFonts w:ascii="Open Sans" w:hAnsi="Open Sans"/>
                <w:sz w:val="20"/>
                <w:szCs w:val="20"/>
                <w:lang w:val="en-US"/>
              </w:rPr>
            </w:pPr>
            <w:r>
              <w:rPr>
                <w:rFonts w:ascii="Open Sans" w:hAnsi="Open Sans"/>
                <w:sz w:val="20"/>
                <w:szCs w:val="20"/>
                <w:lang w:val="en-US"/>
              </w:rPr>
              <w:t>3.</w:t>
            </w:r>
            <w:r w:rsidR="00FA6660">
              <w:rPr>
                <w:rFonts w:ascii="Open Sans" w:hAnsi="Open Sans"/>
                <w:sz w:val="20"/>
                <w:szCs w:val="20"/>
                <w:lang w:val="en-US"/>
              </w:rPr>
              <w:t>4</w:t>
            </w:r>
            <w:r>
              <w:rPr>
                <w:rFonts w:ascii="Open Sans" w:hAnsi="Open Sans"/>
                <w:sz w:val="20"/>
                <w:szCs w:val="20"/>
                <w:lang w:val="en-US"/>
              </w:rPr>
              <w:t xml:space="preserve">. </w:t>
            </w:r>
            <w:r w:rsidR="002E7E08">
              <w:rPr>
                <w:rFonts w:ascii="Open Sans" w:hAnsi="Open Sans"/>
                <w:sz w:val="20"/>
                <w:szCs w:val="20"/>
                <w:lang w:val="en-US"/>
              </w:rPr>
              <w:t xml:space="preserve">Two </w:t>
            </w:r>
            <w:r w:rsidR="00AB14DD">
              <w:rPr>
                <w:rFonts w:ascii="Open Sans" w:hAnsi="Open Sans"/>
                <w:sz w:val="20"/>
                <w:szCs w:val="20"/>
                <w:lang w:val="en-US"/>
              </w:rPr>
              <w:t xml:space="preserve">documents </w:t>
            </w:r>
            <w:r w:rsidR="00C77323">
              <w:rPr>
                <w:rFonts w:ascii="Open Sans" w:hAnsi="Open Sans"/>
                <w:sz w:val="20"/>
                <w:szCs w:val="20"/>
                <w:lang w:val="en-US"/>
              </w:rPr>
              <w:t xml:space="preserve">containing </w:t>
            </w:r>
            <w:r w:rsidR="005C4489">
              <w:rPr>
                <w:rFonts w:ascii="Open Sans" w:hAnsi="Open Sans"/>
                <w:sz w:val="20"/>
                <w:szCs w:val="20"/>
                <w:lang w:val="en-US"/>
              </w:rPr>
              <w:t xml:space="preserve">technical aspects of the </w:t>
            </w:r>
            <w:r w:rsidR="00F913A1">
              <w:rPr>
                <w:rFonts w:ascii="Open Sans" w:hAnsi="Open Sans"/>
                <w:sz w:val="20"/>
                <w:szCs w:val="20"/>
                <w:lang w:val="en-US"/>
              </w:rPr>
              <w:t>development of financial mechanisms</w:t>
            </w:r>
            <w:r w:rsidR="00CD05B3">
              <w:rPr>
                <w:rFonts w:ascii="Open Sans" w:hAnsi="Open Sans"/>
                <w:sz w:val="20"/>
                <w:szCs w:val="20"/>
                <w:lang w:val="en-US"/>
              </w:rPr>
              <w:t xml:space="preserve"> to support NDC initiatives in 2 priority sectors. </w:t>
            </w:r>
          </w:p>
        </w:tc>
      </w:tr>
      <w:tr w:rsidR="0059063D" w:rsidRPr="008F777C" w14:paraId="380B9262" w14:textId="77777777" w:rsidTr="00F33B30">
        <w:tc>
          <w:tcPr>
            <w:tcW w:w="8828" w:type="dxa"/>
            <w:gridSpan w:val="2"/>
            <w:shd w:val="clear" w:color="auto" w:fill="auto"/>
          </w:tcPr>
          <w:p w14:paraId="5D0C32F4" w14:textId="5700C9E1" w:rsidR="0059063D" w:rsidRPr="00327076" w:rsidRDefault="0059063D" w:rsidP="00575D24">
            <w:pPr>
              <w:jc w:val="both"/>
              <w:rPr>
                <w:rFonts w:ascii="Open Sans" w:hAnsi="Open Sans"/>
                <w:sz w:val="20"/>
                <w:szCs w:val="20"/>
                <w:lang w:val="en-US"/>
              </w:rPr>
            </w:pPr>
            <w:r w:rsidRPr="00327076">
              <w:rPr>
                <w:rFonts w:ascii="Open Sans" w:hAnsi="Open Sans"/>
                <w:b/>
                <w:bCs/>
                <w:sz w:val="20"/>
                <w:szCs w:val="20"/>
                <w:lang w:val="en-US"/>
              </w:rPr>
              <w:t>T</w:t>
            </w:r>
            <w:r w:rsidR="00A60427" w:rsidRPr="00327076">
              <w:rPr>
                <w:rFonts w:ascii="Open Sans" w:hAnsi="Open Sans"/>
                <w:b/>
                <w:bCs/>
                <w:sz w:val="20"/>
                <w:szCs w:val="20"/>
                <w:lang w:val="en-US"/>
              </w:rPr>
              <w:t>ASK</w:t>
            </w:r>
            <w:r w:rsidRPr="00327076">
              <w:rPr>
                <w:rFonts w:ascii="Open Sans" w:hAnsi="Open Sans"/>
                <w:b/>
                <w:bCs/>
                <w:sz w:val="20"/>
                <w:szCs w:val="20"/>
                <w:lang w:val="en-US"/>
              </w:rPr>
              <w:t xml:space="preserve"> 4:</w:t>
            </w:r>
            <w:r w:rsidRPr="00327076">
              <w:rPr>
                <w:rFonts w:ascii="Open Sans" w:hAnsi="Open Sans"/>
                <w:sz w:val="20"/>
                <w:szCs w:val="20"/>
                <w:lang w:val="en-US"/>
              </w:rPr>
              <w:t xml:space="preserve"> </w:t>
            </w:r>
            <w:r w:rsidR="00346A37" w:rsidRPr="00327076">
              <w:rPr>
                <w:rFonts w:ascii="Open Sans" w:hAnsi="Open Sans" w:cs="Calibri"/>
                <w:iCs/>
                <w:sz w:val="20"/>
                <w:szCs w:val="20"/>
                <w:lang w:val="en-US"/>
              </w:rPr>
              <w:t xml:space="preserve">Organization of </w:t>
            </w:r>
            <w:r w:rsidR="00B24AC0">
              <w:rPr>
                <w:rFonts w:ascii="Open Sans" w:hAnsi="Open Sans" w:cs="Calibri"/>
                <w:iCs/>
                <w:sz w:val="20"/>
                <w:szCs w:val="20"/>
                <w:lang w:val="en-US"/>
              </w:rPr>
              <w:t>h</w:t>
            </w:r>
            <w:r w:rsidR="00346A37" w:rsidRPr="00327076">
              <w:rPr>
                <w:rFonts w:ascii="Open Sans" w:hAnsi="Open Sans" w:cs="Calibri"/>
                <w:iCs/>
                <w:sz w:val="20"/>
                <w:szCs w:val="20"/>
                <w:lang w:val="en-US"/>
              </w:rPr>
              <w:t>igh-level event of the NDC Action project in Colombia</w:t>
            </w:r>
            <w:r w:rsidR="00737A92">
              <w:rPr>
                <w:rFonts w:ascii="Open Sans" w:hAnsi="Open Sans" w:cs="Calibri"/>
                <w:iCs/>
                <w:sz w:val="20"/>
                <w:szCs w:val="20"/>
                <w:lang w:val="en-US"/>
              </w:rPr>
              <w:t xml:space="preserve"> (expected </w:t>
            </w:r>
            <w:r w:rsidR="00E4253D">
              <w:rPr>
                <w:rFonts w:ascii="Open Sans" w:hAnsi="Open Sans" w:cs="Calibri"/>
                <w:iCs/>
                <w:sz w:val="20"/>
                <w:szCs w:val="20"/>
                <w:lang w:val="en-US"/>
              </w:rPr>
              <w:t xml:space="preserve">in </w:t>
            </w:r>
            <w:r w:rsidR="00B24AC0">
              <w:rPr>
                <w:rFonts w:ascii="Open Sans" w:hAnsi="Open Sans" w:cs="Calibri"/>
                <w:iCs/>
                <w:sz w:val="20"/>
                <w:szCs w:val="20"/>
                <w:lang w:val="en-US"/>
              </w:rPr>
              <w:t>the first</w:t>
            </w:r>
            <w:r w:rsidR="009A4BD6">
              <w:rPr>
                <w:rFonts w:ascii="Open Sans" w:hAnsi="Open Sans" w:cs="Calibri"/>
                <w:iCs/>
                <w:sz w:val="20"/>
                <w:szCs w:val="20"/>
                <w:lang w:val="en-US"/>
              </w:rPr>
              <w:t xml:space="preserve"> semester of</w:t>
            </w:r>
            <w:r w:rsidR="008131CA">
              <w:rPr>
                <w:rFonts w:ascii="Open Sans" w:hAnsi="Open Sans" w:cs="Calibri"/>
                <w:iCs/>
                <w:sz w:val="20"/>
                <w:szCs w:val="20"/>
                <w:lang w:val="en-US"/>
              </w:rPr>
              <w:t xml:space="preserve"> 202</w:t>
            </w:r>
            <w:r w:rsidR="00B24AC0">
              <w:rPr>
                <w:rFonts w:ascii="Open Sans" w:hAnsi="Open Sans" w:cs="Calibri"/>
                <w:iCs/>
                <w:sz w:val="20"/>
                <w:szCs w:val="20"/>
                <w:lang w:val="en-US"/>
              </w:rPr>
              <w:t>2</w:t>
            </w:r>
            <w:r w:rsidR="008131CA">
              <w:rPr>
                <w:rFonts w:ascii="Open Sans" w:hAnsi="Open Sans" w:cs="Calibri"/>
                <w:iCs/>
                <w:sz w:val="20"/>
                <w:szCs w:val="20"/>
                <w:lang w:val="en-US"/>
              </w:rPr>
              <w:t>)</w:t>
            </w:r>
          </w:p>
        </w:tc>
      </w:tr>
      <w:tr w:rsidR="00A60427" w:rsidRPr="008F777C" w14:paraId="3F27D926" w14:textId="77777777" w:rsidTr="00350BE5">
        <w:tc>
          <w:tcPr>
            <w:tcW w:w="8828" w:type="dxa"/>
            <w:gridSpan w:val="2"/>
            <w:shd w:val="clear" w:color="auto" w:fill="auto"/>
          </w:tcPr>
          <w:p w14:paraId="56881F5B" w14:textId="30FF2357" w:rsidR="00346A37" w:rsidRPr="00327076" w:rsidRDefault="00A60427" w:rsidP="00575D24">
            <w:pPr>
              <w:jc w:val="both"/>
              <w:rPr>
                <w:rFonts w:ascii="Open Sans" w:hAnsi="Open Sans" w:cs="Calibri"/>
                <w:sz w:val="20"/>
                <w:szCs w:val="20"/>
                <w:lang w:val="en-US"/>
              </w:rPr>
            </w:pPr>
            <w:r w:rsidRPr="00327076">
              <w:rPr>
                <w:rFonts w:ascii="Open Sans" w:hAnsi="Open Sans"/>
                <w:sz w:val="20"/>
                <w:szCs w:val="20"/>
                <w:u w:val="single"/>
                <w:lang w:val="en-US"/>
              </w:rPr>
              <w:t>Deliverable 4:</w:t>
            </w:r>
            <w:r w:rsidRPr="00327076">
              <w:rPr>
                <w:rFonts w:ascii="Open Sans" w:hAnsi="Open Sans"/>
                <w:sz w:val="20"/>
                <w:szCs w:val="20"/>
                <w:lang w:val="en-US"/>
              </w:rPr>
              <w:t xml:space="preserve"> </w:t>
            </w:r>
            <w:r w:rsidR="00346A37" w:rsidRPr="00327076">
              <w:rPr>
                <w:rFonts w:ascii="Open Sans" w:hAnsi="Open Sans"/>
                <w:sz w:val="20"/>
                <w:szCs w:val="20"/>
                <w:lang w:val="en-US"/>
              </w:rPr>
              <w:t xml:space="preserve"> </w:t>
            </w:r>
            <w:r w:rsidR="00346A37" w:rsidRPr="00327076">
              <w:rPr>
                <w:rFonts w:ascii="Open Sans" w:hAnsi="Open Sans" w:cs="Calibri"/>
                <w:sz w:val="20"/>
                <w:szCs w:val="20"/>
                <w:lang w:val="en-US"/>
              </w:rPr>
              <w:t>Document summarizing main results and conclusions drawn from the event</w:t>
            </w:r>
          </w:p>
        </w:tc>
      </w:tr>
    </w:tbl>
    <w:p w14:paraId="239B7D38" w14:textId="77777777" w:rsidR="00623D74" w:rsidRDefault="00623D74" w:rsidP="008F0A25">
      <w:pPr>
        <w:jc w:val="both"/>
        <w:rPr>
          <w:rFonts w:ascii="Open Sans" w:hAnsi="Open Sans"/>
          <w:b/>
          <w:bCs/>
          <w:sz w:val="20"/>
          <w:szCs w:val="20"/>
          <w:lang w:val="en-US"/>
        </w:rPr>
      </w:pPr>
    </w:p>
    <w:p w14:paraId="77986A8D" w14:textId="040D3218" w:rsidR="00623D74" w:rsidRPr="008F777C" w:rsidRDefault="004B2DB7" w:rsidP="008F777C">
      <w:pPr>
        <w:pStyle w:val="ListParagraph"/>
        <w:numPr>
          <w:ilvl w:val="0"/>
          <w:numId w:val="18"/>
        </w:numPr>
        <w:jc w:val="both"/>
        <w:rPr>
          <w:rFonts w:ascii="Open Sans" w:hAnsi="Open Sans"/>
          <w:b/>
          <w:bCs/>
          <w:sz w:val="20"/>
          <w:szCs w:val="20"/>
          <w:lang w:val="en-US"/>
        </w:rPr>
      </w:pPr>
      <w:r w:rsidRPr="00B230EB">
        <w:rPr>
          <w:rFonts w:ascii="Open Sans" w:hAnsi="Open Sans"/>
          <w:b/>
          <w:bCs/>
          <w:sz w:val="20"/>
          <w:szCs w:val="20"/>
          <w:lang w:val="en-US"/>
        </w:rPr>
        <w:t>Work schedule</w:t>
      </w:r>
    </w:p>
    <w:tbl>
      <w:tblPr>
        <w:tblStyle w:val="TableGrid"/>
        <w:tblW w:w="0" w:type="auto"/>
        <w:tblLayout w:type="fixed"/>
        <w:tblLook w:val="04A0" w:firstRow="1" w:lastRow="0" w:firstColumn="1" w:lastColumn="0" w:noHBand="0" w:noVBand="1"/>
      </w:tblPr>
      <w:tblGrid>
        <w:gridCol w:w="1280"/>
        <w:gridCol w:w="558"/>
        <w:gridCol w:w="597"/>
        <w:gridCol w:w="537"/>
        <w:gridCol w:w="567"/>
        <w:gridCol w:w="567"/>
        <w:gridCol w:w="567"/>
        <w:gridCol w:w="567"/>
        <w:gridCol w:w="567"/>
        <w:gridCol w:w="567"/>
        <w:gridCol w:w="567"/>
        <w:gridCol w:w="567"/>
        <w:gridCol w:w="567"/>
      </w:tblGrid>
      <w:tr w:rsidR="00F16747" w14:paraId="72C11F64" w14:textId="641D5A9D" w:rsidTr="008F777C">
        <w:tc>
          <w:tcPr>
            <w:tcW w:w="1280" w:type="dxa"/>
            <w:vMerge w:val="restart"/>
            <w:vAlign w:val="center"/>
          </w:tcPr>
          <w:p w14:paraId="357B7BD4" w14:textId="09A35677" w:rsidR="00F16747" w:rsidRDefault="00F16747" w:rsidP="00045F08">
            <w:pPr>
              <w:jc w:val="center"/>
              <w:rPr>
                <w:rFonts w:ascii="Open Sans" w:hAnsi="Open Sans"/>
                <w:b/>
                <w:bCs/>
                <w:sz w:val="20"/>
                <w:szCs w:val="20"/>
                <w:lang w:val="en-US"/>
              </w:rPr>
            </w:pPr>
            <w:r>
              <w:rPr>
                <w:rFonts w:ascii="Open Sans" w:hAnsi="Open Sans"/>
                <w:b/>
                <w:bCs/>
                <w:sz w:val="20"/>
                <w:szCs w:val="20"/>
                <w:lang w:val="en-US"/>
              </w:rPr>
              <w:t>Deliverable</w:t>
            </w:r>
          </w:p>
        </w:tc>
        <w:tc>
          <w:tcPr>
            <w:tcW w:w="5094" w:type="dxa"/>
            <w:gridSpan w:val="9"/>
            <w:vAlign w:val="center"/>
          </w:tcPr>
          <w:p w14:paraId="0BDE50BE" w14:textId="17099CC5" w:rsidR="00F16747" w:rsidRDefault="00F16747" w:rsidP="00F16747">
            <w:pPr>
              <w:jc w:val="center"/>
              <w:rPr>
                <w:rFonts w:ascii="Open Sans" w:hAnsi="Open Sans"/>
                <w:b/>
                <w:bCs/>
                <w:sz w:val="20"/>
                <w:szCs w:val="20"/>
                <w:lang w:val="en-US"/>
              </w:rPr>
            </w:pPr>
            <w:r>
              <w:rPr>
                <w:rFonts w:ascii="Open Sans" w:hAnsi="Open Sans"/>
                <w:b/>
                <w:bCs/>
                <w:sz w:val="20"/>
                <w:szCs w:val="20"/>
                <w:lang w:val="en-US"/>
              </w:rPr>
              <w:t>2021</w:t>
            </w:r>
          </w:p>
        </w:tc>
        <w:tc>
          <w:tcPr>
            <w:tcW w:w="1701" w:type="dxa"/>
            <w:gridSpan w:val="3"/>
            <w:vAlign w:val="center"/>
          </w:tcPr>
          <w:p w14:paraId="552A187E" w14:textId="6F1175BA" w:rsidR="00F16747" w:rsidRDefault="00F16747" w:rsidP="00045F08">
            <w:pPr>
              <w:jc w:val="center"/>
              <w:rPr>
                <w:rFonts w:ascii="Open Sans" w:hAnsi="Open Sans"/>
                <w:b/>
                <w:bCs/>
                <w:sz w:val="20"/>
                <w:szCs w:val="20"/>
                <w:lang w:val="en-US"/>
              </w:rPr>
            </w:pPr>
            <w:r>
              <w:rPr>
                <w:rFonts w:ascii="Open Sans" w:hAnsi="Open Sans"/>
                <w:b/>
                <w:bCs/>
                <w:sz w:val="20"/>
                <w:szCs w:val="20"/>
                <w:lang w:val="en-US"/>
              </w:rPr>
              <w:t>2022</w:t>
            </w:r>
          </w:p>
        </w:tc>
      </w:tr>
      <w:tr w:rsidR="00F16747" w14:paraId="49ACCE2F" w14:textId="07E7C862" w:rsidTr="008F777C">
        <w:tc>
          <w:tcPr>
            <w:tcW w:w="1280" w:type="dxa"/>
            <w:vMerge/>
            <w:vAlign w:val="center"/>
          </w:tcPr>
          <w:p w14:paraId="75DE2BBF" w14:textId="77777777" w:rsidR="00F16747" w:rsidRDefault="00F16747" w:rsidP="00045F08">
            <w:pPr>
              <w:jc w:val="center"/>
              <w:rPr>
                <w:rFonts w:ascii="Open Sans" w:hAnsi="Open Sans"/>
                <w:b/>
                <w:bCs/>
                <w:sz w:val="20"/>
                <w:szCs w:val="20"/>
                <w:lang w:val="en-US"/>
              </w:rPr>
            </w:pPr>
          </w:p>
        </w:tc>
        <w:tc>
          <w:tcPr>
            <w:tcW w:w="558" w:type="dxa"/>
            <w:vAlign w:val="center"/>
          </w:tcPr>
          <w:p w14:paraId="6741384B" w14:textId="66CFDDB2" w:rsidR="00F16747" w:rsidRPr="008F777C" w:rsidRDefault="00F16747" w:rsidP="00045F08">
            <w:pPr>
              <w:jc w:val="center"/>
              <w:rPr>
                <w:rFonts w:cstheme="minorHAnsi"/>
                <w:b/>
                <w:bCs/>
                <w:sz w:val="18"/>
                <w:szCs w:val="18"/>
                <w:lang w:val="en-US"/>
              </w:rPr>
            </w:pPr>
            <w:r>
              <w:rPr>
                <w:rFonts w:cstheme="minorHAnsi"/>
                <w:b/>
                <w:bCs/>
                <w:sz w:val="18"/>
                <w:szCs w:val="18"/>
                <w:lang w:val="en-US"/>
              </w:rPr>
              <w:t>Apr</w:t>
            </w:r>
          </w:p>
        </w:tc>
        <w:tc>
          <w:tcPr>
            <w:tcW w:w="597" w:type="dxa"/>
            <w:vAlign w:val="center"/>
          </w:tcPr>
          <w:p w14:paraId="0261FB35" w14:textId="3CFC48E4" w:rsidR="00F16747" w:rsidRPr="008F777C" w:rsidRDefault="00F16747" w:rsidP="00045F08">
            <w:pPr>
              <w:jc w:val="center"/>
              <w:rPr>
                <w:rFonts w:cstheme="minorHAnsi"/>
                <w:b/>
                <w:bCs/>
                <w:sz w:val="18"/>
                <w:szCs w:val="18"/>
                <w:lang w:val="en-US"/>
              </w:rPr>
            </w:pPr>
            <w:r>
              <w:rPr>
                <w:rFonts w:cstheme="minorHAnsi"/>
                <w:b/>
                <w:bCs/>
                <w:sz w:val="18"/>
                <w:szCs w:val="18"/>
                <w:lang w:val="en-US"/>
              </w:rPr>
              <w:t>May</w:t>
            </w:r>
          </w:p>
        </w:tc>
        <w:tc>
          <w:tcPr>
            <w:tcW w:w="537" w:type="dxa"/>
            <w:vAlign w:val="center"/>
          </w:tcPr>
          <w:p w14:paraId="53014897" w14:textId="7A482690" w:rsidR="00F16747" w:rsidRPr="008F777C" w:rsidRDefault="00F16747" w:rsidP="00045F08">
            <w:pPr>
              <w:jc w:val="center"/>
              <w:rPr>
                <w:rFonts w:cstheme="minorHAnsi"/>
                <w:b/>
                <w:bCs/>
                <w:sz w:val="18"/>
                <w:szCs w:val="18"/>
                <w:lang w:val="en-US"/>
              </w:rPr>
            </w:pPr>
            <w:r>
              <w:rPr>
                <w:rFonts w:cstheme="minorHAnsi"/>
                <w:b/>
                <w:bCs/>
                <w:sz w:val="18"/>
                <w:szCs w:val="18"/>
                <w:lang w:val="en-US"/>
              </w:rPr>
              <w:t>Jun</w:t>
            </w:r>
          </w:p>
        </w:tc>
        <w:tc>
          <w:tcPr>
            <w:tcW w:w="567" w:type="dxa"/>
            <w:vAlign w:val="center"/>
          </w:tcPr>
          <w:p w14:paraId="4C198377" w14:textId="6E20C590" w:rsidR="00F16747" w:rsidRPr="008F777C" w:rsidRDefault="00F16747" w:rsidP="00F16747">
            <w:pPr>
              <w:jc w:val="center"/>
              <w:rPr>
                <w:rFonts w:cstheme="minorHAnsi"/>
                <w:b/>
                <w:bCs/>
                <w:sz w:val="18"/>
                <w:szCs w:val="18"/>
                <w:lang w:val="en-US"/>
              </w:rPr>
            </w:pPr>
            <w:r>
              <w:rPr>
                <w:rFonts w:cstheme="minorHAnsi"/>
                <w:b/>
                <w:bCs/>
                <w:sz w:val="18"/>
                <w:szCs w:val="18"/>
                <w:lang w:val="en-US"/>
              </w:rPr>
              <w:t>Jul</w:t>
            </w:r>
          </w:p>
        </w:tc>
        <w:tc>
          <w:tcPr>
            <w:tcW w:w="567" w:type="dxa"/>
            <w:vAlign w:val="center"/>
          </w:tcPr>
          <w:p w14:paraId="46509F5D" w14:textId="4F78F557" w:rsidR="00F16747" w:rsidRPr="008F777C" w:rsidRDefault="00F16747" w:rsidP="008F777C">
            <w:pPr>
              <w:rPr>
                <w:rFonts w:cstheme="minorHAnsi"/>
                <w:b/>
                <w:bCs/>
                <w:sz w:val="18"/>
                <w:szCs w:val="18"/>
                <w:lang w:val="en-US"/>
              </w:rPr>
            </w:pPr>
            <w:r>
              <w:rPr>
                <w:rFonts w:cstheme="minorHAnsi"/>
                <w:b/>
                <w:bCs/>
                <w:sz w:val="18"/>
                <w:szCs w:val="18"/>
                <w:lang w:val="en-US"/>
              </w:rPr>
              <w:t>Aug</w:t>
            </w:r>
          </w:p>
        </w:tc>
        <w:tc>
          <w:tcPr>
            <w:tcW w:w="567" w:type="dxa"/>
            <w:vAlign w:val="center"/>
          </w:tcPr>
          <w:p w14:paraId="7716FD6E" w14:textId="1078B370" w:rsidR="00F16747" w:rsidRPr="008F777C" w:rsidRDefault="00F16747" w:rsidP="00F16747">
            <w:pPr>
              <w:jc w:val="center"/>
              <w:rPr>
                <w:rFonts w:cstheme="minorHAnsi"/>
                <w:b/>
                <w:bCs/>
                <w:sz w:val="18"/>
                <w:szCs w:val="18"/>
                <w:lang w:val="en-US"/>
              </w:rPr>
            </w:pPr>
            <w:r>
              <w:rPr>
                <w:rFonts w:cstheme="minorHAnsi"/>
                <w:b/>
                <w:bCs/>
                <w:sz w:val="18"/>
                <w:szCs w:val="18"/>
                <w:lang w:val="en-US"/>
              </w:rPr>
              <w:t>Sep</w:t>
            </w:r>
          </w:p>
        </w:tc>
        <w:tc>
          <w:tcPr>
            <w:tcW w:w="567" w:type="dxa"/>
            <w:vAlign w:val="center"/>
          </w:tcPr>
          <w:p w14:paraId="09D54D7E" w14:textId="51A0C39C" w:rsidR="00F16747" w:rsidRPr="008F777C" w:rsidRDefault="00F16747" w:rsidP="00F16747">
            <w:pPr>
              <w:jc w:val="center"/>
              <w:rPr>
                <w:rFonts w:cstheme="minorHAnsi"/>
                <w:b/>
                <w:bCs/>
                <w:sz w:val="18"/>
                <w:szCs w:val="18"/>
                <w:lang w:val="en-US"/>
              </w:rPr>
            </w:pPr>
            <w:r>
              <w:rPr>
                <w:rFonts w:cstheme="minorHAnsi"/>
                <w:b/>
                <w:bCs/>
                <w:sz w:val="18"/>
                <w:szCs w:val="18"/>
                <w:lang w:val="en-US"/>
              </w:rPr>
              <w:t>Oct</w:t>
            </w:r>
          </w:p>
        </w:tc>
        <w:tc>
          <w:tcPr>
            <w:tcW w:w="567" w:type="dxa"/>
            <w:vAlign w:val="center"/>
          </w:tcPr>
          <w:p w14:paraId="11806F7E" w14:textId="4C0798F2" w:rsidR="00F16747" w:rsidRPr="008F777C" w:rsidRDefault="00F16747" w:rsidP="00045F08">
            <w:pPr>
              <w:jc w:val="center"/>
              <w:rPr>
                <w:rFonts w:cstheme="minorHAnsi"/>
                <w:b/>
                <w:bCs/>
                <w:sz w:val="18"/>
                <w:szCs w:val="18"/>
                <w:lang w:val="en-US"/>
              </w:rPr>
            </w:pPr>
            <w:r>
              <w:rPr>
                <w:rFonts w:cstheme="minorHAnsi"/>
                <w:b/>
                <w:bCs/>
                <w:sz w:val="18"/>
                <w:szCs w:val="18"/>
                <w:lang w:val="en-US"/>
              </w:rPr>
              <w:t>Nov</w:t>
            </w:r>
          </w:p>
        </w:tc>
        <w:tc>
          <w:tcPr>
            <w:tcW w:w="567" w:type="dxa"/>
            <w:vAlign w:val="center"/>
          </w:tcPr>
          <w:p w14:paraId="14CA636E" w14:textId="3D847026" w:rsidR="00F16747" w:rsidRPr="008F777C" w:rsidRDefault="00F16747" w:rsidP="00F16747">
            <w:pPr>
              <w:jc w:val="center"/>
              <w:rPr>
                <w:rFonts w:cstheme="minorHAnsi"/>
                <w:b/>
                <w:bCs/>
                <w:sz w:val="18"/>
                <w:szCs w:val="18"/>
                <w:lang w:val="en-US"/>
              </w:rPr>
            </w:pPr>
            <w:r w:rsidRPr="008F777C">
              <w:rPr>
                <w:rFonts w:cstheme="minorHAnsi"/>
                <w:b/>
                <w:bCs/>
                <w:sz w:val="18"/>
                <w:szCs w:val="18"/>
                <w:lang w:val="en-US"/>
              </w:rPr>
              <w:t>Dec</w:t>
            </w:r>
          </w:p>
        </w:tc>
        <w:tc>
          <w:tcPr>
            <w:tcW w:w="567" w:type="dxa"/>
            <w:vAlign w:val="center"/>
          </w:tcPr>
          <w:p w14:paraId="570A8568" w14:textId="4F26C3C7" w:rsidR="00F16747" w:rsidRPr="008F777C" w:rsidRDefault="00F16747" w:rsidP="00F16747">
            <w:pPr>
              <w:jc w:val="center"/>
              <w:rPr>
                <w:rFonts w:cstheme="minorHAnsi"/>
                <w:b/>
                <w:bCs/>
                <w:sz w:val="18"/>
                <w:szCs w:val="18"/>
                <w:lang w:val="en-US"/>
              </w:rPr>
            </w:pPr>
            <w:r>
              <w:rPr>
                <w:rFonts w:cstheme="minorHAnsi"/>
                <w:b/>
                <w:bCs/>
                <w:sz w:val="18"/>
                <w:szCs w:val="18"/>
                <w:lang w:val="en-US"/>
              </w:rPr>
              <w:t>Jan</w:t>
            </w:r>
          </w:p>
        </w:tc>
        <w:tc>
          <w:tcPr>
            <w:tcW w:w="567" w:type="dxa"/>
            <w:vAlign w:val="center"/>
          </w:tcPr>
          <w:p w14:paraId="62AF1172" w14:textId="79613718" w:rsidR="00F16747" w:rsidRPr="008F777C" w:rsidRDefault="00F16747" w:rsidP="008F777C">
            <w:pPr>
              <w:rPr>
                <w:rFonts w:cstheme="minorHAnsi"/>
                <w:b/>
                <w:bCs/>
                <w:sz w:val="18"/>
                <w:szCs w:val="18"/>
                <w:lang w:val="en-US"/>
              </w:rPr>
            </w:pPr>
            <w:r>
              <w:rPr>
                <w:rFonts w:cstheme="minorHAnsi"/>
                <w:b/>
                <w:bCs/>
                <w:sz w:val="18"/>
                <w:szCs w:val="18"/>
                <w:lang w:val="en-US"/>
              </w:rPr>
              <w:t>Feb</w:t>
            </w:r>
          </w:p>
        </w:tc>
        <w:tc>
          <w:tcPr>
            <w:tcW w:w="567" w:type="dxa"/>
            <w:vAlign w:val="center"/>
          </w:tcPr>
          <w:p w14:paraId="61FF08FA" w14:textId="10F07079" w:rsidR="00F16747" w:rsidRPr="008F777C" w:rsidRDefault="00F16747" w:rsidP="00045F08">
            <w:pPr>
              <w:jc w:val="center"/>
              <w:rPr>
                <w:rFonts w:cstheme="minorHAnsi"/>
                <w:b/>
                <w:bCs/>
                <w:sz w:val="18"/>
                <w:szCs w:val="18"/>
                <w:lang w:val="en-US"/>
              </w:rPr>
            </w:pPr>
            <w:r>
              <w:rPr>
                <w:rFonts w:cstheme="minorHAnsi"/>
                <w:b/>
                <w:bCs/>
                <w:sz w:val="18"/>
                <w:szCs w:val="18"/>
                <w:lang w:val="en-US"/>
              </w:rPr>
              <w:t>Mar</w:t>
            </w:r>
          </w:p>
        </w:tc>
      </w:tr>
      <w:tr w:rsidR="00F16747" w14:paraId="09EC5C08" w14:textId="13049525" w:rsidTr="008F777C">
        <w:tc>
          <w:tcPr>
            <w:tcW w:w="1280" w:type="dxa"/>
          </w:tcPr>
          <w:p w14:paraId="056EAE08" w14:textId="5A1149DF" w:rsidR="00F16747" w:rsidRDefault="00F16747" w:rsidP="00B230EB">
            <w:pPr>
              <w:jc w:val="center"/>
              <w:rPr>
                <w:rFonts w:ascii="Open Sans" w:hAnsi="Open Sans"/>
                <w:b/>
                <w:bCs/>
                <w:sz w:val="20"/>
                <w:szCs w:val="20"/>
                <w:lang w:val="en-US"/>
              </w:rPr>
            </w:pPr>
            <w:r>
              <w:rPr>
                <w:rFonts w:ascii="Open Sans" w:hAnsi="Open Sans"/>
                <w:b/>
                <w:bCs/>
                <w:sz w:val="20"/>
                <w:szCs w:val="20"/>
                <w:lang w:val="en-US"/>
              </w:rPr>
              <w:t>1</w:t>
            </w:r>
          </w:p>
        </w:tc>
        <w:tc>
          <w:tcPr>
            <w:tcW w:w="558" w:type="dxa"/>
            <w:shd w:val="clear" w:color="auto" w:fill="7F7F7F" w:themeFill="text1" w:themeFillTint="80"/>
          </w:tcPr>
          <w:p w14:paraId="02170AEE" w14:textId="77777777" w:rsidR="00F16747" w:rsidRPr="00B32E83" w:rsidRDefault="00F16747" w:rsidP="008F0A25">
            <w:pPr>
              <w:jc w:val="both"/>
              <w:rPr>
                <w:rFonts w:ascii="Open Sans" w:hAnsi="Open Sans"/>
                <w:b/>
                <w:bCs/>
                <w:sz w:val="20"/>
                <w:szCs w:val="20"/>
                <w:lang w:val="en-US"/>
              </w:rPr>
            </w:pPr>
          </w:p>
        </w:tc>
        <w:tc>
          <w:tcPr>
            <w:tcW w:w="597" w:type="dxa"/>
            <w:shd w:val="clear" w:color="auto" w:fill="7F7F7F" w:themeFill="text1" w:themeFillTint="80"/>
          </w:tcPr>
          <w:p w14:paraId="6F98EF17" w14:textId="77777777" w:rsidR="00F16747" w:rsidRPr="00B32E83" w:rsidRDefault="00F16747" w:rsidP="008F0A25">
            <w:pPr>
              <w:jc w:val="both"/>
              <w:rPr>
                <w:rFonts w:ascii="Open Sans" w:hAnsi="Open Sans"/>
                <w:b/>
                <w:bCs/>
                <w:sz w:val="20"/>
                <w:szCs w:val="20"/>
                <w:lang w:val="en-US"/>
              </w:rPr>
            </w:pPr>
          </w:p>
        </w:tc>
        <w:tc>
          <w:tcPr>
            <w:tcW w:w="537" w:type="dxa"/>
            <w:shd w:val="clear" w:color="auto" w:fill="7F7F7F" w:themeFill="text1" w:themeFillTint="80"/>
          </w:tcPr>
          <w:p w14:paraId="314BB6A4"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490AEB68" w14:textId="54252D6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1A96B082"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EFEF1C4"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42F5CF4C" w14:textId="08B5515C"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28DE756"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0C48217"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6B1E7145" w14:textId="19C835CC"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84C38D2"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1DA58E0" w14:textId="77777777" w:rsidR="00F16747" w:rsidRPr="00B32E83" w:rsidRDefault="00F16747" w:rsidP="008F0A25">
            <w:pPr>
              <w:jc w:val="both"/>
              <w:rPr>
                <w:rFonts w:ascii="Open Sans" w:hAnsi="Open Sans"/>
                <w:b/>
                <w:bCs/>
                <w:sz w:val="20"/>
                <w:szCs w:val="20"/>
                <w:lang w:val="en-US"/>
              </w:rPr>
            </w:pPr>
          </w:p>
        </w:tc>
      </w:tr>
      <w:tr w:rsidR="00F16747" w14:paraId="1CFBFECB" w14:textId="2A24C45C" w:rsidTr="008F777C">
        <w:tc>
          <w:tcPr>
            <w:tcW w:w="1280" w:type="dxa"/>
          </w:tcPr>
          <w:p w14:paraId="4B934B0A" w14:textId="5B222F66" w:rsidR="00F16747" w:rsidRDefault="00F16747" w:rsidP="00B230EB">
            <w:pPr>
              <w:jc w:val="center"/>
              <w:rPr>
                <w:rFonts w:ascii="Open Sans" w:hAnsi="Open Sans"/>
                <w:b/>
                <w:bCs/>
                <w:sz w:val="20"/>
                <w:szCs w:val="20"/>
                <w:lang w:val="en-US"/>
              </w:rPr>
            </w:pPr>
            <w:r>
              <w:rPr>
                <w:rFonts w:ascii="Open Sans" w:hAnsi="Open Sans"/>
                <w:b/>
                <w:bCs/>
                <w:sz w:val="20"/>
                <w:szCs w:val="20"/>
                <w:lang w:val="en-US"/>
              </w:rPr>
              <w:t>2.1</w:t>
            </w:r>
          </w:p>
        </w:tc>
        <w:tc>
          <w:tcPr>
            <w:tcW w:w="558" w:type="dxa"/>
            <w:shd w:val="clear" w:color="auto" w:fill="7F7F7F" w:themeFill="text1" w:themeFillTint="80"/>
          </w:tcPr>
          <w:p w14:paraId="6CB297F2" w14:textId="77777777" w:rsidR="00F16747" w:rsidRPr="00B32E83" w:rsidRDefault="00F16747" w:rsidP="008F0A25">
            <w:pPr>
              <w:jc w:val="both"/>
              <w:rPr>
                <w:rFonts w:ascii="Open Sans" w:hAnsi="Open Sans"/>
                <w:b/>
                <w:bCs/>
                <w:sz w:val="20"/>
                <w:szCs w:val="20"/>
                <w:lang w:val="en-US"/>
              </w:rPr>
            </w:pPr>
          </w:p>
        </w:tc>
        <w:tc>
          <w:tcPr>
            <w:tcW w:w="597" w:type="dxa"/>
            <w:shd w:val="clear" w:color="auto" w:fill="7F7F7F" w:themeFill="text1" w:themeFillTint="80"/>
          </w:tcPr>
          <w:p w14:paraId="2C39C42D" w14:textId="77777777" w:rsidR="00F16747" w:rsidRPr="00B32E83" w:rsidRDefault="00F16747" w:rsidP="008F0A25">
            <w:pPr>
              <w:jc w:val="both"/>
              <w:rPr>
                <w:rFonts w:ascii="Open Sans" w:hAnsi="Open Sans"/>
                <w:b/>
                <w:bCs/>
                <w:sz w:val="20"/>
                <w:szCs w:val="20"/>
                <w:lang w:val="en-US"/>
              </w:rPr>
            </w:pPr>
          </w:p>
        </w:tc>
        <w:tc>
          <w:tcPr>
            <w:tcW w:w="537" w:type="dxa"/>
            <w:shd w:val="clear" w:color="auto" w:fill="7F7F7F" w:themeFill="text1" w:themeFillTint="80"/>
          </w:tcPr>
          <w:p w14:paraId="1A61AADB"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1A7C0C89" w14:textId="030CBAAA"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2D9D4AFE"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28C38FED"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3F9B3B8" w14:textId="2564D81D"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721864D"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ABB6AD5"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D706C6A" w14:textId="5C657161"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7190FBA"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F8DC7AD" w14:textId="77777777" w:rsidR="00F16747" w:rsidRPr="00B32E83" w:rsidRDefault="00F16747" w:rsidP="008F0A25">
            <w:pPr>
              <w:jc w:val="both"/>
              <w:rPr>
                <w:rFonts w:ascii="Open Sans" w:hAnsi="Open Sans"/>
                <w:b/>
                <w:bCs/>
                <w:sz w:val="20"/>
                <w:szCs w:val="20"/>
                <w:lang w:val="en-US"/>
              </w:rPr>
            </w:pPr>
          </w:p>
        </w:tc>
      </w:tr>
      <w:tr w:rsidR="00F16747" w14:paraId="056C2639" w14:textId="7D35157D" w:rsidTr="008F777C">
        <w:tc>
          <w:tcPr>
            <w:tcW w:w="1280" w:type="dxa"/>
          </w:tcPr>
          <w:p w14:paraId="0A6A74E3" w14:textId="29EBD76C" w:rsidR="00F16747" w:rsidRDefault="00F16747" w:rsidP="00B230EB">
            <w:pPr>
              <w:jc w:val="center"/>
              <w:rPr>
                <w:rFonts w:ascii="Open Sans" w:hAnsi="Open Sans"/>
                <w:b/>
                <w:bCs/>
                <w:sz w:val="20"/>
                <w:szCs w:val="20"/>
                <w:lang w:val="en-US"/>
              </w:rPr>
            </w:pPr>
            <w:r>
              <w:rPr>
                <w:rFonts w:ascii="Open Sans" w:hAnsi="Open Sans"/>
                <w:b/>
                <w:bCs/>
                <w:sz w:val="20"/>
                <w:szCs w:val="20"/>
                <w:lang w:val="en-US"/>
              </w:rPr>
              <w:t>2.2</w:t>
            </w:r>
          </w:p>
        </w:tc>
        <w:tc>
          <w:tcPr>
            <w:tcW w:w="558" w:type="dxa"/>
            <w:shd w:val="clear" w:color="auto" w:fill="auto"/>
          </w:tcPr>
          <w:p w14:paraId="3112D25A" w14:textId="77777777" w:rsidR="00F16747" w:rsidRPr="00B32E83" w:rsidRDefault="00F16747" w:rsidP="008F0A25">
            <w:pPr>
              <w:jc w:val="both"/>
              <w:rPr>
                <w:rFonts w:ascii="Open Sans" w:hAnsi="Open Sans"/>
                <w:b/>
                <w:bCs/>
                <w:sz w:val="20"/>
                <w:szCs w:val="20"/>
                <w:lang w:val="en-US"/>
              </w:rPr>
            </w:pPr>
          </w:p>
        </w:tc>
        <w:tc>
          <w:tcPr>
            <w:tcW w:w="597" w:type="dxa"/>
            <w:shd w:val="clear" w:color="auto" w:fill="auto"/>
          </w:tcPr>
          <w:p w14:paraId="3AA0EF25" w14:textId="77777777" w:rsidR="00F16747" w:rsidRPr="00B32E83" w:rsidRDefault="00F16747" w:rsidP="008F0A25">
            <w:pPr>
              <w:jc w:val="both"/>
              <w:rPr>
                <w:rFonts w:ascii="Open Sans" w:hAnsi="Open Sans"/>
                <w:b/>
                <w:bCs/>
                <w:sz w:val="20"/>
                <w:szCs w:val="20"/>
                <w:lang w:val="en-US"/>
              </w:rPr>
            </w:pPr>
          </w:p>
        </w:tc>
        <w:tc>
          <w:tcPr>
            <w:tcW w:w="537" w:type="dxa"/>
            <w:shd w:val="clear" w:color="auto" w:fill="808080" w:themeFill="background1" w:themeFillShade="80"/>
          </w:tcPr>
          <w:p w14:paraId="01C19161" w14:textId="77777777" w:rsidR="00F16747" w:rsidRPr="00B32E83" w:rsidRDefault="00F16747" w:rsidP="008F0A25">
            <w:pPr>
              <w:jc w:val="both"/>
              <w:rPr>
                <w:rFonts w:ascii="Open Sans" w:hAnsi="Open Sans"/>
                <w:b/>
                <w:bCs/>
                <w:sz w:val="20"/>
                <w:szCs w:val="20"/>
                <w:lang w:val="en-US"/>
              </w:rPr>
            </w:pPr>
          </w:p>
        </w:tc>
        <w:tc>
          <w:tcPr>
            <w:tcW w:w="567" w:type="dxa"/>
            <w:shd w:val="clear" w:color="auto" w:fill="7F7F7F" w:themeFill="text1" w:themeFillTint="80"/>
          </w:tcPr>
          <w:p w14:paraId="3A1C8EC7" w14:textId="50EF2740" w:rsidR="00F16747" w:rsidRPr="00B32E83" w:rsidRDefault="00F16747" w:rsidP="008F0A25">
            <w:pPr>
              <w:jc w:val="both"/>
              <w:rPr>
                <w:rFonts w:ascii="Open Sans" w:hAnsi="Open Sans"/>
                <w:b/>
                <w:bCs/>
                <w:sz w:val="20"/>
                <w:szCs w:val="20"/>
                <w:lang w:val="en-US"/>
              </w:rPr>
            </w:pPr>
          </w:p>
        </w:tc>
        <w:tc>
          <w:tcPr>
            <w:tcW w:w="567" w:type="dxa"/>
            <w:shd w:val="clear" w:color="auto" w:fill="7F7F7F" w:themeFill="text1" w:themeFillTint="80"/>
          </w:tcPr>
          <w:p w14:paraId="1F8C381F"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6D9FB52B"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749E3817" w14:textId="23DCEDE8"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4DDDA9D0"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35E8AF63"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74DAB55A" w14:textId="58D31C11"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6C5F36B"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78865DA9" w14:textId="77777777" w:rsidR="00F16747" w:rsidRPr="00B32E83" w:rsidRDefault="00F16747" w:rsidP="008F0A25">
            <w:pPr>
              <w:jc w:val="both"/>
              <w:rPr>
                <w:rFonts w:ascii="Open Sans" w:hAnsi="Open Sans"/>
                <w:b/>
                <w:bCs/>
                <w:sz w:val="20"/>
                <w:szCs w:val="20"/>
                <w:lang w:val="en-US"/>
              </w:rPr>
            </w:pPr>
          </w:p>
        </w:tc>
      </w:tr>
      <w:tr w:rsidR="00F16747" w14:paraId="70F705CD" w14:textId="6CFDCEB0" w:rsidTr="008F777C">
        <w:tc>
          <w:tcPr>
            <w:tcW w:w="1280" w:type="dxa"/>
          </w:tcPr>
          <w:p w14:paraId="21031B2C" w14:textId="62868762" w:rsidR="00F16747" w:rsidRDefault="00F16747" w:rsidP="00B230EB">
            <w:pPr>
              <w:jc w:val="center"/>
              <w:rPr>
                <w:rFonts w:ascii="Open Sans" w:hAnsi="Open Sans"/>
                <w:b/>
                <w:bCs/>
                <w:sz w:val="20"/>
                <w:szCs w:val="20"/>
                <w:lang w:val="en-US"/>
              </w:rPr>
            </w:pPr>
            <w:r>
              <w:rPr>
                <w:rFonts w:ascii="Open Sans" w:hAnsi="Open Sans"/>
                <w:b/>
                <w:bCs/>
                <w:sz w:val="20"/>
                <w:szCs w:val="20"/>
                <w:lang w:val="en-US"/>
              </w:rPr>
              <w:t>2.3</w:t>
            </w:r>
          </w:p>
        </w:tc>
        <w:tc>
          <w:tcPr>
            <w:tcW w:w="558" w:type="dxa"/>
            <w:shd w:val="clear" w:color="auto" w:fill="auto"/>
          </w:tcPr>
          <w:p w14:paraId="0F361EE2" w14:textId="77777777" w:rsidR="00F16747" w:rsidRPr="00B32E83" w:rsidRDefault="00F16747" w:rsidP="008F0A25">
            <w:pPr>
              <w:jc w:val="both"/>
              <w:rPr>
                <w:rFonts w:ascii="Open Sans" w:hAnsi="Open Sans"/>
                <w:b/>
                <w:bCs/>
                <w:sz w:val="20"/>
                <w:szCs w:val="20"/>
                <w:lang w:val="en-US"/>
              </w:rPr>
            </w:pPr>
          </w:p>
        </w:tc>
        <w:tc>
          <w:tcPr>
            <w:tcW w:w="597" w:type="dxa"/>
            <w:shd w:val="clear" w:color="auto" w:fill="auto"/>
          </w:tcPr>
          <w:p w14:paraId="4724580F" w14:textId="77777777" w:rsidR="00F16747" w:rsidRPr="00B32E83" w:rsidRDefault="00F16747" w:rsidP="008F0A25">
            <w:pPr>
              <w:jc w:val="both"/>
              <w:rPr>
                <w:rFonts w:ascii="Open Sans" w:hAnsi="Open Sans"/>
                <w:b/>
                <w:bCs/>
                <w:sz w:val="20"/>
                <w:szCs w:val="20"/>
                <w:lang w:val="en-US"/>
              </w:rPr>
            </w:pPr>
          </w:p>
        </w:tc>
        <w:tc>
          <w:tcPr>
            <w:tcW w:w="537" w:type="dxa"/>
            <w:shd w:val="clear" w:color="auto" w:fill="808080" w:themeFill="background1" w:themeFillShade="80"/>
          </w:tcPr>
          <w:p w14:paraId="380088BF" w14:textId="77777777"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A4B8AE9" w14:textId="567740DF"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1EC75F50"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7C349641"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2F1CD913" w14:textId="20627523"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527CF0DA"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6A06C755"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00C06BDF" w14:textId="30348609"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2532E3E3"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FEF1FF6" w14:textId="77777777" w:rsidR="00F16747" w:rsidRPr="00B32E83" w:rsidRDefault="00F16747" w:rsidP="008F0A25">
            <w:pPr>
              <w:jc w:val="both"/>
              <w:rPr>
                <w:rFonts w:ascii="Open Sans" w:hAnsi="Open Sans"/>
                <w:b/>
                <w:bCs/>
                <w:sz w:val="20"/>
                <w:szCs w:val="20"/>
                <w:lang w:val="en-US"/>
              </w:rPr>
            </w:pPr>
          </w:p>
        </w:tc>
      </w:tr>
      <w:tr w:rsidR="00F16747" w14:paraId="113A10CB" w14:textId="76FBD32C" w:rsidTr="008F777C">
        <w:tc>
          <w:tcPr>
            <w:tcW w:w="1280" w:type="dxa"/>
          </w:tcPr>
          <w:p w14:paraId="4FA687BA" w14:textId="66C6A131" w:rsidR="00F16747" w:rsidRDefault="00F16747" w:rsidP="00B230EB">
            <w:pPr>
              <w:jc w:val="center"/>
              <w:rPr>
                <w:rFonts w:ascii="Open Sans" w:hAnsi="Open Sans"/>
                <w:b/>
                <w:bCs/>
                <w:sz w:val="20"/>
                <w:szCs w:val="20"/>
                <w:lang w:val="en-US"/>
              </w:rPr>
            </w:pPr>
            <w:r>
              <w:rPr>
                <w:rFonts w:ascii="Open Sans" w:hAnsi="Open Sans"/>
                <w:b/>
                <w:bCs/>
                <w:sz w:val="20"/>
                <w:szCs w:val="20"/>
                <w:lang w:val="en-US"/>
              </w:rPr>
              <w:t>2.4</w:t>
            </w:r>
          </w:p>
        </w:tc>
        <w:tc>
          <w:tcPr>
            <w:tcW w:w="558" w:type="dxa"/>
            <w:shd w:val="clear" w:color="auto" w:fill="auto"/>
          </w:tcPr>
          <w:p w14:paraId="42B1D27F" w14:textId="77777777" w:rsidR="00F16747" w:rsidRPr="00B32E83" w:rsidRDefault="00F16747" w:rsidP="008F0A25">
            <w:pPr>
              <w:jc w:val="both"/>
              <w:rPr>
                <w:rFonts w:ascii="Open Sans" w:hAnsi="Open Sans"/>
                <w:b/>
                <w:bCs/>
                <w:sz w:val="20"/>
                <w:szCs w:val="20"/>
                <w:lang w:val="en-US"/>
              </w:rPr>
            </w:pPr>
          </w:p>
        </w:tc>
        <w:tc>
          <w:tcPr>
            <w:tcW w:w="597" w:type="dxa"/>
            <w:shd w:val="clear" w:color="auto" w:fill="auto"/>
          </w:tcPr>
          <w:p w14:paraId="2DFD311A" w14:textId="77777777" w:rsidR="00F16747" w:rsidRPr="00B32E83" w:rsidRDefault="00F16747" w:rsidP="008F0A25">
            <w:pPr>
              <w:jc w:val="both"/>
              <w:rPr>
                <w:rFonts w:ascii="Open Sans" w:hAnsi="Open Sans"/>
                <w:b/>
                <w:bCs/>
                <w:sz w:val="20"/>
                <w:szCs w:val="20"/>
                <w:lang w:val="en-US"/>
              </w:rPr>
            </w:pPr>
          </w:p>
        </w:tc>
        <w:tc>
          <w:tcPr>
            <w:tcW w:w="537" w:type="dxa"/>
            <w:shd w:val="clear" w:color="auto" w:fill="auto"/>
          </w:tcPr>
          <w:p w14:paraId="4D4A2991"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AE52981" w14:textId="7258A1F5"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A2E5A60" w14:textId="77777777"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5E30260E"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04760BC4" w14:textId="7C5B85FD"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78C44C83"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7D0F8ED8"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FADFFC5" w14:textId="66A9041C"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EA21369"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35E1475B" w14:textId="77777777" w:rsidR="00F16747" w:rsidRPr="00B32E83" w:rsidRDefault="00F16747" w:rsidP="008F0A25">
            <w:pPr>
              <w:jc w:val="both"/>
              <w:rPr>
                <w:rFonts w:ascii="Open Sans" w:hAnsi="Open Sans"/>
                <w:b/>
                <w:bCs/>
                <w:sz w:val="20"/>
                <w:szCs w:val="20"/>
                <w:lang w:val="en-US"/>
              </w:rPr>
            </w:pPr>
          </w:p>
        </w:tc>
      </w:tr>
      <w:tr w:rsidR="00F16747" w14:paraId="6F563242" w14:textId="1F78111E" w:rsidTr="008F777C">
        <w:tc>
          <w:tcPr>
            <w:tcW w:w="1280" w:type="dxa"/>
          </w:tcPr>
          <w:p w14:paraId="7BA3089F" w14:textId="50C4AA89" w:rsidR="00F16747" w:rsidRDefault="00F16747" w:rsidP="00B230EB">
            <w:pPr>
              <w:jc w:val="center"/>
              <w:rPr>
                <w:rFonts w:ascii="Open Sans" w:hAnsi="Open Sans"/>
                <w:b/>
                <w:bCs/>
                <w:sz w:val="20"/>
                <w:szCs w:val="20"/>
                <w:lang w:val="en-US"/>
              </w:rPr>
            </w:pPr>
            <w:r>
              <w:rPr>
                <w:rFonts w:ascii="Open Sans" w:hAnsi="Open Sans"/>
                <w:b/>
                <w:bCs/>
                <w:sz w:val="20"/>
                <w:szCs w:val="20"/>
                <w:lang w:val="en-US"/>
              </w:rPr>
              <w:t>2.5</w:t>
            </w:r>
          </w:p>
        </w:tc>
        <w:tc>
          <w:tcPr>
            <w:tcW w:w="558" w:type="dxa"/>
            <w:shd w:val="clear" w:color="auto" w:fill="auto"/>
          </w:tcPr>
          <w:p w14:paraId="388EA38A" w14:textId="77777777" w:rsidR="00F16747" w:rsidRPr="00B32E83" w:rsidRDefault="00F16747" w:rsidP="008F0A25">
            <w:pPr>
              <w:jc w:val="both"/>
              <w:rPr>
                <w:rFonts w:ascii="Open Sans" w:hAnsi="Open Sans"/>
                <w:b/>
                <w:bCs/>
                <w:sz w:val="20"/>
                <w:szCs w:val="20"/>
                <w:lang w:val="en-US"/>
              </w:rPr>
            </w:pPr>
          </w:p>
        </w:tc>
        <w:tc>
          <w:tcPr>
            <w:tcW w:w="597" w:type="dxa"/>
            <w:shd w:val="clear" w:color="auto" w:fill="auto"/>
          </w:tcPr>
          <w:p w14:paraId="6E01DBA4" w14:textId="77777777" w:rsidR="00F16747" w:rsidRPr="00B32E83" w:rsidRDefault="00F16747" w:rsidP="008F0A25">
            <w:pPr>
              <w:jc w:val="both"/>
              <w:rPr>
                <w:rFonts w:ascii="Open Sans" w:hAnsi="Open Sans"/>
                <w:b/>
                <w:bCs/>
                <w:sz w:val="20"/>
                <w:szCs w:val="20"/>
                <w:lang w:val="en-US"/>
              </w:rPr>
            </w:pPr>
          </w:p>
        </w:tc>
        <w:tc>
          <w:tcPr>
            <w:tcW w:w="537" w:type="dxa"/>
            <w:shd w:val="clear" w:color="auto" w:fill="auto"/>
          </w:tcPr>
          <w:p w14:paraId="60EF9E22"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324AEA3" w14:textId="3852F0E0"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6CDA175F"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5E3F98E4" w14:textId="77777777"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414C8452" w14:textId="77B10CA9" w:rsidR="00F16747" w:rsidRPr="00B32E83"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76A90A7F" w14:textId="77777777" w:rsidR="00F16747" w:rsidRPr="00B32E83" w:rsidRDefault="00F16747" w:rsidP="008F0A25">
            <w:pPr>
              <w:jc w:val="both"/>
              <w:rPr>
                <w:rFonts w:ascii="Open Sans" w:hAnsi="Open Sans"/>
                <w:b/>
                <w:bCs/>
                <w:sz w:val="20"/>
                <w:szCs w:val="20"/>
                <w:lang w:val="en-US"/>
              </w:rPr>
            </w:pPr>
          </w:p>
        </w:tc>
        <w:tc>
          <w:tcPr>
            <w:tcW w:w="567" w:type="dxa"/>
            <w:shd w:val="clear" w:color="auto" w:fill="auto"/>
          </w:tcPr>
          <w:p w14:paraId="11F49720"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2F7D2737" w14:textId="4AD96B42"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05E601FA" w14:textId="77777777" w:rsidR="00F16747" w:rsidRPr="00B32E83" w:rsidRDefault="00F16747" w:rsidP="008F0A25">
            <w:pPr>
              <w:jc w:val="both"/>
              <w:rPr>
                <w:rFonts w:ascii="Open Sans" w:hAnsi="Open Sans"/>
                <w:b/>
                <w:bCs/>
                <w:sz w:val="20"/>
                <w:szCs w:val="20"/>
                <w:lang w:val="en-US"/>
              </w:rPr>
            </w:pPr>
          </w:p>
        </w:tc>
        <w:tc>
          <w:tcPr>
            <w:tcW w:w="567" w:type="dxa"/>
            <w:shd w:val="clear" w:color="auto" w:fill="FFFFFF" w:themeFill="background1"/>
          </w:tcPr>
          <w:p w14:paraId="5C356EA8" w14:textId="77777777" w:rsidR="00F16747" w:rsidRPr="00B32E83" w:rsidRDefault="00F16747" w:rsidP="008F0A25">
            <w:pPr>
              <w:jc w:val="both"/>
              <w:rPr>
                <w:rFonts w:ascii="Open Sans" w:hAnsi="Open Sans"/>
                <w:b/>
                <w:bCs/>
                <w:sz w:val="20"/>
                <w:szCs w:val="20"/>
                <w:lang w:val="en-US"/>
              </w:rPr>
            </w:pPr>
          </w:p>
        </w:tc>
      </w:tr>
      <w:tr w:rsidR="00F16747" w14:paraId="11364841" w14:textId="518D11CB" w:rsidTr="008F777C">
        <w:tc>
          <w:tcPr>
            <w:tcW w:w="1280" w:type="dxa"/>
          </w:tcPr>
          <w:p w14:paraId="31FF8C17" w14:textId="11A70B6D" w:rsidR="00F16747" w:rsidRDefault="00F16747" w:rsidP="00B230EB">
            <w:pPr>
              <w:jc w:val="center"/>
              <w:rPr>
                <w:rFonts w:ascii="Open Sans" w:hAnsi="Open Sans"/>
                <w:b/>
                <w:bCs/>
                <w:sz w:val="20"/>
                <w:szCs w:val="20"/>
                <w:lang w:val="en-US"/>
              </w:rPr>
            </w:pPr>
            <w:r>
              <w:rPr>
                <w:rFonts w:ascii="Open Sans" w:hAnsi="Open Sans"/>
                <w:b/>
                <w:bCs/>
                <w:sz w:val="20"/>
                <w:szCs w:val="20"/>
                <w:lang w:val="en-US"/>
              </w:rPr>
              <w:t>3.1</w:t>
            </w:r>
          </w:p>
        </w:tc>
        <w:tc>
          <w:tcPr>
            <w:tcW w:w="558" w:type="dxa"/>
            <w:shd w:val="clear" w:color="auto" w:fill="7F7F7F" w:themeFill="text1" w:themeFillTint="80"/>
          </w:tcPr>
          <w:p w14:paraId="33AE0C52" w14:textId="77777777" w:rsidR="00F16747" w:rsidRDefault="00F16747" w:rsidP="008F0A25">
            <w:pPr>
              <w:jc w:val="both"/>
              <w:rPr>
                <w:rFonts w:ascii="Open Sans" w:hAnsi="Open Sans"/>
                <w:b/>
                <w:bCs/>
                <w:sz w:val="20"/>
                <w:szCs w:val="20"/>
                <w:lang w:val="en-US"/>
              </w:rPr>
            </w:pPr>
          </w:p>
        </w:tc>
        <w:tc>
          <w:tcPr>
            <w:tcW w:w="597" w:type="dxa"/>
            <w:shd w:val="clear" w:color="auto" w:fill="7F7F7F" w:themeFill="text1" w:themeFillTint="80"/>
          </w:tcPr>
          <w:p w14:paraId="427AA5B6" w14:textId="77777777" w:rsidR="00F16747" w:rsidRDefault="00F16747" w:rsidP="008F0A25">
            <w:pPr>
              <w:jc w:val="both"/>
              <w:rPr>
                <w:rFonts w:ascii="Open Sans" w:hAnsi="Open Sans"/>
                <w:b/>
                <w:bCs/>
                <w:sz w:val="20"/>
                <w:szCs w:val="20"/>
                <w:lang w:val="en-US"/>
              </w:rPr>
            </w:pPr>
          </w:p>
        </w:tc>
        <w:tc>
          <w:tcPr>
            <w:tcW w:w="537" w:type="dxa"/>
            <w:shd w:val="clear" w:color="auto" w:fill="7F7F7F" w:themeFill="text1" w:themeFillTint="80"/>
          </w:tcPr>
          <w:p w14:paraId="0917E663"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371B87F2" w14:textId="0F213C6D" w:rsidR="00F16747" w:rsidRDefault="00F16747" w:rsidP="008F0A25">
            <w:pPr>
              <w:jc w:val="both"/>
              <w:rPr>
                <w:rFonts w:ascii="Open Sans" w:hAnsi="Open Sans"/>
                <w:b/>
                <w:bCs/>
                <w:sz w:val="20"/>
                <w:szCs w:val="20"/>
                <w:lang w:val="en-US"/>
              </w:rPr>
            </w:pPr>
          </w:p>
        </w:tc>
        <w:tc>
          <w:tcPr>
            <w:tcW w:w="567" w:type="dxa"/>
            <w:shd w:val="clear" w:color="auto" w:fill="auto"/>
          </w:tcPr>
          <w:p w14:paraId="796E4EBF"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17A50F77"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363B26CE" w14:textId="653AB0FF" w:rsidR="00F16747" w:rsidRDefault="00F16747" w:rsidP="008F0A25">
            <w:pPr>
              <w:jc w:val="both"/>
              <w:rPr>
                <w:rFonts w:ascii="Open Sans" w:hAnsi="Open Sans"/>
                <w:b/>
                <w:bCs/>
                <w:sz w:val="20"/>
                <w:szCs w:val="20"/>
                <w:lang w:val="en-US"/>
              </w:rPr>
            </w:pPr>
          </w:p>
        </w:tc>
        <w:tc>
          <w:tcPr>
            <w:tcW w:w="567" w:type="dxa"/>
            <w:shd w:val="clear" w:color="auto" w:fill="auto"/>
          </w:tcPr>
          <w:p w14:paraId="3E37C91C"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29D86D1F"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164C8927" w14:textId="36F32B7F" w:rsidR="00F16747" w:rsidRDefault="00F16747" w:rsidP="008F0A25">
            <w:pPr>
              <w:jc w:val="both"/>
              <w:rPr>
                <w:rFonts w:ascii="Open Sans" w:hAnsi="Open Sans"/>
                <w:b/>
                <w:bCs/>
                <w:sz w:val="20"/>
                <w:szCs w:val="20"/>
                <w:lang w:val="en-US"/>
              </w:rPr>
            </w:pPr>
          </w:p>
        </w:tc>
        <w:tc>
          <w:tcPr>
            <w:tcW w:w="567" w:type="dxa"/>
            <w:shd w:val="clear" w:color="auto" w:fill="auto"/>
          </w:tcPr>
          <w:p w14:paraId="5C8B441B" w14:textId="77777777" w:rsidR="00F16747" w:rsidRDefault="00F16747" w:rsidP="008F0A25">
            <w:pPr>
              <w:jc w:val="both"/>
              <w:rPr>
                <w:rFonts w:ascii="Open Sans" w:hAnsi="Open Sans"/>
                <w:b/>
                <w:bCs/>
                <w:sz w:val="20"/>
                <w:szCs w:val="20"/>
                <w:lang w:val="en-US"/>
              </w:rPr>
            </w:pPr>
          </w:p>
        </w:tc>
        <w:tc>
          <w:tcPr>
            <w:tcW w:w="567" w:type="dxa"/>
            <w:shd w:val="clear" w:color="auto" w:fill="auto"/>
          </w:tcPr>
          <w:p w14:paraId="2BF07822" w14:textId="77777777" w:rsidR="00F16747" w:rsidRDefault="00F16747" w:rsidP="008F0A25">
            <w:pPr>
              <w:jc w:val="both"/>
              <w:rPr>
                <w:rFonts w:ascii="Open Sans" w:hAnsi="Open Sans"/>
                <w:b/>
                <w:bCs/>
                <w:sz w:val="20"/>
                <w:szCs w:val="20"/>
                <w:lang w:val="en-US"/>
              </w:rPr>
            </w:pPr>
          </w:p>
        </w:tc>
      </w:tr>
      <w:tr w:rsidR="00F16747" w14:paraId="45346DFE" w14:textId="049F8907" w:rsidTr="008F777C">
        <w:tc>
          <w:tcPr>
            <w:tcW w:w="1280" w:type="dxa"/>
          </w:tcPr>
          <w:p w14:paraId="044BE711" w14:textId="3A409F12" w:rsidR="00F16747" w:rsidRDefault="00F16747" w:rsidP="00B230EB">
            <w:pPr>
              <w:jc w:val="center"/>
              <w:rPr>
                <w:rFonts w:ascii="Open Sans" w:hAnsi="Open Sans"/>
                <w:b/>
                <w:bCs/>
                <w:sz w:val="20"/>
                <w:szCs w:val="20"/>
                <w:lang w:val="en-US"/>
              </w:rPr>
            </w:pPr>
            <w:r>
              <w:rPr>
                <w:rFonts w:ascii="Open Sans" w:hAnsi="Open Sans"/>
                <w:b/>
                <w:bCs/>
                <w:sz w:val="20"/>
                <w:szCs w:val="20"/>
                <w:lang w:val="en-US"/>
              </w:rPr>
              <w:t>3.2</w:t>
            </w:r>
          </w:p>
        </w:tc>
        <w:tc>
          <w:tcPr>
            <w:tcW w:w="558" w:type="dxa"/>
          </w:tcPr>
          <w:p w14:paraId="6EEC1A04" w14:textId="77777777" w:rsidR="00F16747" w:rsidRDefault="00F16747" w:rsidP="008F0A25">
            <w:pPr>
              <w:jc w:val="both"/>
              <w:rPr>
                <w:rFonts w:ascii="Open Sans" w:hAnsi="Open Sans"/>
                <w:b/>
                <w:bCs/>
                <w:sz w:val="20"/>
                <w:szCs w:val="20"/>
                <w:lang w:val="en-US"/>
              </w:rPr>
            </w:pPr>
          </w:p>
        </w:tc>
        <w:tc>
          <w:tcPr>
            <w:tcW w:w="597" w:type="dxa"/>
          </w:tcPr>
          <w:p w14:paraId="32359D67" w14:textId="77777777" w:rsidR="00F16747" w:rsidRDefault="00F16747" w:rsidP="008F0A25">
            <w:pPr>
              <w:jc w:val="both"/>
              <w:rPr>
                <w:rFonts w:ascii="Open Sans" w:hAnsi="Open Sans"/>
                <w:b/>
                <w:bCs/>
                <w:sz w:val="20"/>
                <w:szCs w:val="20"/>
                <w:lang w:val="en-US"/>
              </w:rPr>
            </w:pPr>
          </w:p>
        </w:tc>
        <w:tc>
          <w:tcPr>
            <w:tcW w:w="537" w:type="dxa"/>
          </w:tcPr>
          <w:p w14:paraId="412514AC"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72AEF70C" w14:textId="43196ADA"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03646A7C"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AEB530D" w14:textId="77777777" w:rsidR="00F16747" w:rsidRDefault="00F16747" w:rsidP="008F0A25">
            <w:pPr>
              <w:jc w:val="both"/>
              <w:rPr>
                <w:rFonts w:ascii="Open Sans" w:hAnsi="Open Sans"/>
                <w:b/>
                <w:bCs/>
                <w:sz w:val="20"/>
                <w:szCs w:val="20"/>
                <w:lang w:val="en-US"/>
              </w:rPr>
            </w:pPr>
          </w:p>
        </w:tc>
        <w:tc>
          <w:tcPr>
            <w:tcW w:w="567" w:type="dxa"/>
          </w:tcPr>
          <w:p w14:paraId="3D488145" w14:textId="4A47433D" w:rsidR="00F16747" w:rsidRDefault="00F16747" w:rsidP="008F0A25">
            <w:pPr>
              <w:jc w:val="both"/>
              <w:rPr>
                <w:rFonts w:ascii="Open Sans" w:hAnsi="Open Sans"/>
                <w:b/>
                <w:bCs/>
                <w:sz w:val="20"/>
                <w:szCs w:val="20"/>
                <w:lang w:val="en-US"/>
              </w:rPr>
            </w:pPr>
          </w:p>
        </w:tc>
        <w:tc>
          <w:tcPr>
            <w:tcW w:w="567" w:type="dxa"/>
          </w:tcPr>
          <w:p w14:paraId="17BD48B8" w14:textId="77777777" w:rsidR="00F16747" w:rsidRDefault="00F16747" w:rsidP="008F0A25">
            <w:pPr>
              <w:jc w:val="both"/>
              <w:rPr>
                <w:rFonts w:ascii="Open Sans" w:hAnsi="Open Sans"/>
                <w:b/>
                <w:bCs/>
                <w:sz w:val="20"/>
                <w:szCs w:val="20"/>
                <w:lang w:val="en-US"/>
              </w:rPr>
            </w:pPr>
          </w:p>
        </w:tc>
        <w:tc>
          <w:tcPr>
            <w:tcW w:w="567" w:type="dxa"/>
          </w:tcPr>
          <w:p w14:paraId="6A70419E" w14:textId="77777777" w:rsidR="00F16747" w:rsidRDefault="00F16747" w:rsidP="008F0A25">
            <w:pPr>
              <w:jc w:val="both"/>
              <w:rPr>
                <w:rFonts w:ascii="Open Sans" w:hAnsi="Open Sans"/>
                <w:b/>
                <w:bCs/>
                <w:sz w:val="20"/>
                <w:szCs w:val="20"/>
                <w:lang w:val="en-US"/>
              </w:rPr>
            </w:pPr>
          </w:p>
        </w:tc>
        <w:tc>
          <w:tcPr>
            <w:tcW w:w="567" w:type="dxa"/>
          </w:tcPr>
          <w:p w14:paraId="2193FBED" w14:textId="4B96921D" w:rsidR="00F16747" w:rsidRDefault="00F16747" w:rsidP="008F0A25">
            <w:pPr>
              <w:jc w:val="both"/>
              <w:rPr>
                <w:rFonts w:ascii="Open Sans" w:hAnsi="Open Sans"/>
                <w:b/>
                <w:bCs/>
                <w:sz w:val="20"/>
                <w:szCs w:val="20"/>
                <w:lang w:val="en-US"/>
              </w:rPr>
            </w:pPr>
          </w:p>
        </w:tc>
        <w:tc>
          <w:tcPr>
            <w:tcW w:w="567" w:type="dxa"/>
          </w:tcPr>
          <w:p w14:paraId="48458CDC" w14:textId="77777777" w:rsidR="00F16747" w:rsidRDefault="00F16747" w:rsidP="008F0A25">
            <w:pPr>
              <w:jc w:val="both"/>
              <w:rPr>
                <w:rFonts w:ascii="Open Sans" w:hAnsi="Open Sans"/>
                <w:b/>
                <w:bCs/>
                <w:sz w:val="20"/>
                <w:szCs w:val="20"/>
                <w:lang w:val="en-US"/>
              </w:rPr>
            </w:pPr>
          </w:p>
        </w:tc>
        <w:tc>
          <w:tcPr>
            <w:tcW w:w="567" w:type="dxa"/>
          </w:tcPr>
          <w:p w14:paraId="77588431" w14:textId="77777777" w:rsidR="00F16747" w:rsidRDefault="00F16747" w:rsidP="008F0A25">
            <w:pPr>
              <w:jc w:val="both"/>
              <w:rPr>
                <w:rFonts w:ascii="Open Sans" w:hAnsi="Open Sans"/>
                <w:b/>
                <w:bCs/>
                <w:sz w:val="20"/>
                <w:szCs w:val="20"/>
                <w:lang w:val="en-US"/>
              </w:rPr>
            </w:pPr>
          </w:p>
        </w:tc>
      </w:tr>
      <w:tr w:rsidR="00F16747" w14:paraId="6B269201" w14:textId="7151F69B" w:rsidTr="008F777C">
        <w:tc>
          <w:tcPr>
            <w:tcW w:w="1280" w:type="dxa"/>
          </w:tcPr>
          <w:p w14:paraId="08ADCBE5" w14:textId="415D9644" w:rsidR="00F16747" w:rsidRDefault="00F16747" w:rsidP="00B230EB">
            <w:pPr>
              <w:jc w:val="center"/>
              <w:rPr>
                <w:rFonts w:ascii="Open Sans" w:hAnsi="Open Sans"/>
                <w:b/>
                <w:bCs/>
                <w:sz w:val="20"/>
                <w:szCs w:val="20"/>
                <w:lang w:val="en-US"/>
              </w:rPr>
            </w:pPr>
            <w:r>
              <w:rPr>
                <w:rFonts w:ascii="Open Sans" w:hAnsi="Open Sans"/>
                <w:b/>
                <w:bCs/>
                <w:sz w:val="20"/>
                <w:szCs w:val="20"/>
                <w:lang w:val="en-US"/>
              </w:rPr>
              <w:t>3.3</w:t>
            </w:r>
          </w:p>
        </w:tc>
        <w:tc>
          <w:tcPr>
            <w:tcW w:w="558" w:type="dxa"/>
          </w:tcPr>
          <w:p w14:paraId="0E73D3DB" w14:textId="77777777" w:rsidR="00F16747" w:rsidRDefault="00F16747" w:rsidP="008F0A25">
            <w:pPr>
              <w:jc w:val="both"/>
              <w:rPr>
                <w:rFonts w:ascii="Open Sans" w:hAnsi="Open Sans"/>
                <w:b/>
                <w:bCs/>
                <w:sz w:val="20"/>
                <w:szCs w:val="20"/>
                <w:lang w:val="en-US"/>
              </w:rPr>
            </w:pPr>
          </w:p>
        </w:tc>
        <w:tc>
          <w:tcPr>
            <w:tcW w:w="597" w:type="dxa"/>
          </w:tcPr>
          <w:p w14:paraId="132F0674" w14:textId="77777777" w:rsidR="00F16747" w:rsidRDefault="00F16747" w:rsidP="008F0A25">
            <w:pPr>
              <w:jc w:val="both"/>
              <w:rPr>
                <w:rFonts w:ascii="Open Sans" w:hAnsi="Open Sans"/>
                <w:b/>
                <w:bCs/>
                <w:sz w:val="20"/>
                <w:szCs w:val="20"/>
                <w:lang w:val="en-US"/>
              </w:rPr>
            </w:pPr>
          </w:p>
        </w:tc>
        <w:tc>
          <w:tcPr>
            <w:tcW w:w="537" w:type="dxa"/>
          </w:tcPr>
          <w:p w14:paraId="7295A43C"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0C932CDD" w14:textId="679FA54F"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533B019"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174FA504" w14:textId="77777777" w:rsidR="00F16747" w:rsidRDefault="00F16747" w:rsidP="008F0A25">
            <w:pPr>
              <w:jc w:val="both"/>
              <w:rPr>
                <w:rFonts w:ascii="Open Sans" w:hAnsi="Open Sans"/>
                <w:b/>
                <w:bCs/>
                <w:sz w:val="20"/>
                <w:szCs w:val="20"/>
                <w:lang w:val="en-US"/>
              </w:rPr>
            </w:pPr>
          </w:p>
        </w:tc>
        <w:tc>
          <w:tcPr>
            <w:tcW w:w="567" w:type="dxa"/>
          </w:tcPr>
          <w:p w14:paraId="052CC586" w14:textId="57489A2D" w:rsidR="00F16747" w:rsidRDefault="00F16747" w:rsidP="008F0A25">
            <w:pPr>
              <w:jc w:val="both"/>
              <w:rPr>
                <w:rFonts w:ascii="Open Sans" w:hAnsi="Open Sans"/>
                <w:b/>
                <w:bCs/>
                <w:sz w:val="20"/>
                <w:szCs w:val="20"/>
                <w:lang w:val="en-US"/>
              </w:rPr>
            </w:pPr>
          </w:p>
        </w:tc>
        <w:tc>
          <w:tcPr>
            <w:tcW w:w="567" w:type="dxa"/>
          </w:tcPr>
          <w:p w14:paraId="166BE834" w14:textId="77777777" w:rsidR="00F16747" w:rsidRDefault="00F16747" w:rsidP="008F0A25">
            <w:pPr>
              <w:jc w:val="both"/>
              <w:rPr>
                <w:rFonts w:ascii="Open Sans" w:hAnsi="Open Sans"/>
                <w:b/>
                <w:bCs/>
                <w:sz w:val="20"/>
                <w:szCs w:val="20"/>
                <w:lang w:val="en-US"/>
              </w:rPr>
            </w:pPr>
          </w:p>
        </w:tc>
        <w:tc>
          <w:tcPr>
            <w:tcW w:w="567" w:type="dxa"/>
          </w:tcPr>
          <w:p w14:paraId="4AAFC8A3" w14:textId="77777777" w:rsidR="00F16747" w:rsidRDefault="00F16747" w:rsidP="008F0A25">
            <w:pPr>
              <w:jc w:val="both"/>
              <w:rPr>
                <w:rFonts w:ascii="Open Sans" w:hAnsi="Open Sans"/>
                <w:b/>
                <w:bCs/>
                <w:sz w:val="20"/>
                <w:szCs w:val="20"/>
                <w:lang w:val="en-US"/>
              </w:rPr>
            </w:pPr>
          </w:p>
        </w:tc>
        <w:tc>
          <w:tcPr>
            <w:tcW w:w="567" w:type="dxa"/>
          </w:tcPr>
          <w:p w14:paraId="21A251BD" w14:textId="77170F38" w:rsidR="00F16747" w:rsidRDefault="00F16747" w:rsidP="008F0A25">
            <w:pPr>
              <w:jc w:val="both"/>
              <w:rPr>
                <w:rFonts w:ascii="Open Sans" w:hAnsi="Open Sans"/>
                <w:b/>
                <w:bCs/>
                <w:sz w:val="20"/>
                <w:szCs w:val="20"/>
                <w:lang w:val="en-US"/>
              </w:rPr>
            </w:pPr>
          </w:p>
        </w:tc>
        <w:tc>
          <w:tcPr>
            <w:tcW w:w="567" w:type="dxa"/>
          </w:tcPr>
          <w:p w14:paraId="7F0EFB72" w14:textId="77777777" w:rsidR="00F16747" w:rsidRDefault="00F16747" w:rsidP="008F0A25">
            <w:pPr>
              <w:jc w:val="both"/>
              <w:rPr>
                <w:rFonts w:ascii="Open Sans" w:hAnsi="Open Sans"/>
                <w:b/>
                <w:bCs/>
                <w:sz w:val="20"/>
                <w:szCs w:val="20"/>
                <w:lang w:val="en-US"/>
              </w:rPr>
            </w:pPr>
          </w:p>
        </w:tc>
        <w:tc>
          <w:tcPr>
            <w:tcW w:w="567" w:type="dxa"/>
          </w:tcPr>
          <w:p w14:paraId="706E7F55" w14:textId="77777777" w:rsidR="00F16747" w:rsidRDefault="00F16747" w:rsidP="008F0A25">
            <w:pPr>
              <w:jc w:val="both"/>
              <w:rPr>
                <w:rFonts w:ascii="Open Sans" w:hAnsi="Open Sans"/>
                <w:b/>
                <w:bCs/>
                <w:sz w:val="20"/>
                <w:szCs w:val="20"/>
                <w:lang w:val="en-US"/>
              </w:rPr>
            </w:pPr>
          </w:p>
        </w:tc>
      </w:tr>
      <w:tr w:rsidR="00F16747" w14:paraId="32A72F72" w14:textId="1B7EB14B" w:rsidTr="008F777C">
        <w:tc>
          <w:tcPr>
            <w:tcW w:w="1280" w:type="dxa"/>
          </w:tcPr>
          <w:p w14:paraId="37F6A50A" w14:textId="0D7DCB80" w:rsidR="00F16747" w:rsidRDefault="00F16747" w:rsidP="00B230EB">
            <w:pPr>
              <w:jc w:val="center"/>
              <w:rPr>
                <w:rFonts w:ascii="Open Sans" w:hAnsi="Open Sans"/>
                <w:b/>
                <w:bCs/>
                <w:sz w:val="20"/>
                <w:szCs w:val="20"/>
                <w:lang w:val="en-US"/>
              </w:rPr>
            </w:pPr>
            <w:r>
              <w:rPr>
                <w:rFonts w:ascii="Open Sans" w:hAnsi="Open Sans"/>
                <w:b/>
                <w:bCs/>
                <w:sz w:val="20"/>
                <w:szCs w:val="20"/>
                <w:lang w:val="en-US"/>
              </w:rPr>
              <w:t>3.4</w:t>
            </w:r>
          </w:p>
        </w:tc>
        <w:tc>
          <w:tcPr>
            <w:tcW w:w="558" w:type="dxa"/>
          </w:tcPr>
          <w:p w14:paraId="0C263E7D" w14:textId="77777777" w:rsidR="00F16747" w:rsidRDefault="00F16747" w:rsidP="008F0A25">
            <w:pPr>
              <w:jc w:val="both"/>
              <w:rPr>
                <w:rFonts w:ascii="Open Sans" w:hAnsi="Open Sans"/>
                <w:b/>
                <w:bCs/>
                <w:sz w:val="20"/>
                <w:szCs w:val="20"/>
                <w:lang w:val="en-US"/>
              </w:rPr>
            </w:pPr>
          </w:p>
        </w:tc>
        <w:tc>
          <w:tcPr>
            <w:tcW w:w="597" w:type="dxa"/>
          </w:tcPr>
          <w:p w14:paraId="5FD6E6AE" w14:textId="77777777" w:rsidR="00F16747" w:rsidRDefault="00F16747" w:rsidP="008F0A25">
            <w:pPr>
              <w:jc w:val="both"/>
              <w:rPr>
                <w:rFonts w:ascii="Open Sans" w:hAnsi="Open Sans"/>
                <w:b/>
                <w:bCs/>
                <w:sz w:val="20"/>
                <w:szCs w:val="20"/>
                <w:lang w:val="en-US"/>
              </w:rPr>
            </w:pPr>
          </w:p>
        </w:tc>
        <w:tc>
          <w:tcPr>
            <w:tcW w:w="537" w:type="dxa"/>
          </w:tcPr>
          <w:p w14:paraId="22215D1E" w14:textId="77777777" w:rsidR="00F16747" w:rsidRDefault="00F16747" w:rsidP="008F0A25">
            <w:pPr>
              <w:jc w:val="both"/>
              <w:rPr>
                <w:rFonts w:ascii="Open Sans" w:hAnsi="Open Sans"/>
                <w:b/>
                <w:bCs/>
                <w:sz w:val="20"/>
                <w:szCs w:val="20"/>
                <w:lang w:val="en-US"/>
              </w:rPr>
            </w:pPr>
          </w:p>
        </w:tc>
        <w:tc>
          <w:tcPr>
            <w:tcW w:w="567" w:type="dxa"/>
          </w:tcPr>
          <w:p w14:paraId="3237EA52" w14:textId="4D932C90" w:rsidR="00F16747" w:rsidRDefault="00F16747" w:rsidP="008F0A25">
            <w:pPr>
              <w:jc w:val="both"/>
              <w:rPr>
                <w:rFonts w:ascii="Open Sans" w:hAnsi="Open Sans"/>
                <w:b/>
                <w:bCs/>
                <w:sz w:val="20"/>
                <w:szCs w:val="20"/>
                <w:lang w:val="en-US"/>
              </w:rPr>
            </w:pPr>
          </w:p>
        </w:tc>
        <w:tc>
          <w:tcPr>
            <w:tcW w:w="567" w:type="dxa"/>
          </w:tcPr>
          <w:p w14:paraId="718E7096" w14:textId="77777777" w:rsidR="00F16747" w:rsidRDefault="00F16747" w:rsidP="008F0A25">
            <w:pPr>
              <w:jc w:val="both"/>
              <w:rPr>
                <w:rFonts w:ascii="Open Sans" w:hAnsi="Open Sans"/>
                <w:b/>
                <w:bCs/>
                <w:sz w:val="20"/>
                <w:szCs w:val="20"/>
                <w:lang w:val="en-US"/>
              </w:rPr>
            </w:pPr>
          </w:p>
        </w:tc>
        <w:tc>
          <w:tcPr>
            <w:tcW w:w="567" w:type="dxa"/>
          </w:tcPr>
          <w:p w14:paraId="3CD33E3B"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6252C60" w14:textId="371BB3F3"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41A829C2"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34BB762E"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7B241784" w14:textId="6A1B4F3B"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71B52079"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6664436A" w14:textId="77777777" w:rsidR="00F16747" w:rsidRDefault="00F16747" w:rsidP="008F0A25">
            <w:pPr>
              <w:jc w:val="both"/>
              <w:rPr>
                <w:rFonts w:ascii="Open Sans" w:hAnsi="Open Sans"/>
                <w:b/>
                <w:bCs/>
                <w:sz w:val="20"/>
                <w:szCs w:val="20"/>
                <w:lang w:val="en-US"/>
              </w:rPr>
            </w:pPr>
          </w:p>
        </w:tc>
      </w:tr>
      <w:tr w:rsidR="00F16747" w14:paraId="06008ABF" w14:textId="3096D22A" w:rsidTr="008F777C">
        <w:tc>
          <w:tcPr>
            <w:tcW w:w="1280" w:type="dxa"/>
          </w:tcPr>
          <w:p w14:paraId="55A58E67" w14:textId="2DF49404" w:rsidR="00F16747" w:rsidRDefault="00F16747" w:rsidP="00B230EB">
            <w:pPr>
              <w:jc w:val="center"/>
              <w:rPr>
                <w:rFonts w:ascii="Open Sans" w:hAnsi="Open Sans"/>
                <w:b/>
                <w:bCs/>
                <w:sz w:val="20"/>
                <w:szCs w:val="20"/>
                <w:lang w:val="en-US"/>
              </w:rPr>
            </w:pPr>
            <w:r>
              <w:rPr>
                <w:rFonts w:ascii="Open Sans" w:hAnsi="Open Sans"/>
                <w:b/>
                <w:bCs/>
                <w:sz w:val="20"/>
                <w:szCs w:val="20"/>
                <w:lang w:val="en-US"/>
              </w:rPr>
              <w:t>4</w:t>
            </w:r>
          </w:p>
        </w:tc>
        <w:tc>
          <w:tcPr>
            <w:tcW w:w="558" w:type="dxa"/>
          </w:tcPr>
          <w:p w14:paraId="4B54E3C1" w14:textId="77777777" w:rsidR="00F16747" w:rsidRDefault="00F16747" w:rsidP="008F0A25">
            <w:pPr>
              <w:jc w:val="both"/>
              <w:rPr>
                <w:rFonts w:ascii="Open Sans" w:hAnsi="Open Sans"/>
                <w:b/>
                <w:bCs/>
                <w:sz w:val="20"/>
                <w:szCs w:val="20"/>
                <w:lang w:val="en-US"/>
              </w:rPr>
            </w:pPr>
          </w:p>
        </w:tc>
        <w:tc>
          <w:tcPr>
            <w:tcW w:w="597" w:type="dxa"/>
          </w:tcPr>
          <w:p w14:paraId="2CAEE5D6" w14:textId="77777777" w:rsidR="00F16747" w:rsidRDefault="00F16747" w:rsidP="008F0A25">
            <w:pPr>
              <w:jc w:val="both"/>
              <w:rPr>
                <w:rFonts w:ascii="Open Sans" w:hAnsi="Open Sans"/>
                <w:b/>
                <w:bCs/>
                <w:sz w:val="20"/>
                <w:szCs w:val="20"/>
                <w:lang w:val="en-US"/>
              </w:rPr>
            </w:pPr>
          </w:p>
        </w:tc>
        <w:tc>
          <w:tcPr>
            <w:tcW w:w="537" w:type="dxa"/>
          </w:tcPr>
          <w:p w14:paraId="3CCACB75" w14:textId="77777777" w:rsidR="00F16747" w:rsidRDefault="00F16747" w:rsidP="008F0A25">
            <w:pPr>
              <w:jc w:val="both"/>
              <w:rPr>
                <w:rFonts w:ascii="Open Sans" w:hAnsi="Open Sans"/>
                <w:b/>
                <w:bCs/>
                <w:sz w:val="20"/>
                <w:szCs w:val="20"/>
                <w:lang w:val="en-US"/>
              </w:rPr>
            </w:pPr>
          </w:p>
        </w:tc>
        <w:tc>
          <w:tcPr>
            <w:tcW w:w="567" w:type="dxa"/>
            <w:shd w:val="clear" w:color="auto" w:fill="FFFFFF" w:themeFill="background1"/>
          </w:tcPr>
          <w:p w14:paraId="12B23C5B" w14:textId="4686CF48" w:rsidR="00F16747" w:rsidRDefault="00F16747" w:rsidP="008F0A25">
            <w:pPr>
              <w:jc w:val="both"/>
              <w:rPr>
                <w:rFonts w:ascii="Open Sans" w:hAnsi="Open Sans"/>
                <w:b/>
                <w:bCs/>
                <w:sz w:val="20"/>
                <w:szCs w:val="20"/>
                <w:lang w:val="en-US"/>
              </w:rPr>
            </w:pPr>
          </w:p>
        </w:tc>
        <w:tc>
          <w:tcPr>
            <w:tcW w:w="567" w:type="dxa"/>
            <w:shd w:val="clear" w:color="auto" w:fill="FFFFFF" w:themeFill="background1"/>
          </w:tcPr>
          <w:p w14:paraId="0AFCCBB9" w14:textId="77777777" w:rsidR="00F16747" w:rsidRDefault="00F16747" w:rsidP="008F0A25">
            <w:pPr>
              <w:jc w:val="both"/>
              <w:rPr>
                <w:rFonts w:ascii="Open Sans" w:hAnsi="Open Sans"/>
                <w:b/>
                <w:bCs/>
                <w:sz w:val="20"/>
                <w:szCs w:val="20"/>
                <w:lang w:val="en-US"/>
              </w:rPr>
            </w:pPr>
          </w:p>
        </w:tc>
        <w:tc>
          <w:tcPr>
            <w:tcW w:w="567" w:type="dxa"/>
            <w:shd w:val="clear" w:color="auto" w:fill="FFFFFF" w:themeFill="background1"/>
          </w:tcPr>
          <w:p w14:paraId="0622A39D"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5AC22F59" w14:textId="5FD193DE"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2A9A3383" w14:textId="77777777" w:rsidR="00F16747" w:rsidRDefault="00F16747" w:rsidP="008F0A25">
            <w:pPr>
              <w:jc w:val="both"/>
              <w:rPr>
                <w:rFonts w:ascii="Open Sans" w:hAnsi="Open Sans"/>
                <w:b/>
                <w:bCs/>
                <w:sz w:val="20"/>
                <w:szCs w:val="20"/>
                <w:lang w:val="en-US"/>
              </w:rPr>
            </w:pPr>
          </w:p>
        </w:tc>
        <w:tc>
          <w:tcPr>
            <w:tcW w:w="567" w:type="dxa"/>
            <w:shd w:val="clear" w:color="auto" w:fill="808080" w:themeFill="background1" w:themeFillShade="80"/>
          </w:tcPr>
          <w:p w14:paraId="5C561812" w14:textId="77777777" w:rsidR="00F16747" w:rsidRDefault="00F16747" w:rsidP="008F0A25">
            <w:pPr>
              <w:jc w:val="both"/>
              <w:rPr>
                <w:rFonts w:ascii="Open Sans" w:hAnsi="Open Sans"/>
                <w:b/>
                <w:bCs/>
                <w:sz w:val="20"/>
                <w:szCs w:val="20"/>
                <w:lang w:val="en-US"/>
              </w:rPr>
            </w:pPr>
          </w:p>
        </w:tc>
        <w:tc>
          <w:tcPr>
            <w:tcW w:w="567" w:type="dxa"/>
          </w:tcPr>
          <w:p w14:paraId="669F3D53" w14:textId="5187A873" w:rsidR="00F16747" w:rsidRDefault="00F16747" w:rsidP="008F0A25">
            <w:pPr>
              <w:jc w:val="both"/>
              <w:rPr>
                <w:rFonts w:ascii="Open Sans" w:hAnsi="Open Sans"/>
                <w:b/>
                <w:bCs/>
                <w:sz w:val="20"/>
                <w:szCs w:val="20"/>
                <w:lang w:val="en-US"/>
              </w:rPr>
            </w:pPr>
          </w:p>
        </w:tc>
        <w:tc>
          <w:tcPr>
            <w:tcW w:w="567" w:type="dxa"/>
          </w:tcPr>
          <w:p w14:paraId="5D195DC6" w14:textId="77777777" w:rsidR="00F16747" w:rsidRDefault="00F16747" w:rsidP="008F0A25">
            <w:pPr>
              <w:jc w:val="both"/>
              <w:rPr>
                <w:rFonts w:ascii="Open Sans" w:hAnsi="Open Sans"/>
                <w:b/>
                <w:bCs/>
                <w:sz w:val="20"/>
                <w:szCs w:val="20"/>
                <w:lang w:val="en-US"/>
              </w:rPr>
            </w:pPr>
          </w:p>
        </w:tc>
        <w:tc>
          <w:tcPr>
            <w:tcW w:w="567" w:type="dxa"/>
          </w:tcPr>
          <w:p w14:paraId="25096B34" w14:textId="77777777" w:rsidR="00F16747" w:rsidRDefault="00F16747" w:rsidP="008F0A25">
            <w:pPr>
              <w:jc w:val="both"/>
              <w:rPr>
                <w:rFonts w:ascii="Open Sans" w:hAnsi="Open Sans"/>
                <w:b/>
                <w:bCs/>
                <w:sz w:val="20"/>
                <w:szCs w:val="20"/>
                <w:lang w:val="en-US"/>
              </w:rPr>
            </w:pPr>
          </w:p>
        </w:tc>
      </w:tr>
    </w:tbl>
    <w:p w14:paraId="54044457" w14:textId="2F92AEC4" w:rsidR="004B2DB7" w:rsidRPr="00982B25" w:rsidRDefault="00DE2FF5" w:rsidP="008F0A25">
      <w:pPr>
        <w:jc w:val="both"/>
        <w:rPr>
          <w:rFonts w:ascii="Open Sans" w:hAnsi="Open Sans"/>
          <w:b/>
          <w:bCs/>
          <w:sz w:val="20"/>
          <w:szCs w:val="20"/>
          <w:lang w:val="en-US"/>
        </w:rPr>
      </w:pPr>
      <w:r>
        <w:rPr>
          <w:rFonts w:ascii="Open Sans" w:hAnsi="Open Sans"/>
          <w:b/>
          <w:bCs/>
          <w:sz w:val="20"/>
          <w:szCs w:val="20"/>
          <w:lang w:val="en-US"/>
        </w:rPr>
        <w:tab/>
      </w:r>
    </w:p>
    <w:sectPr w:rsidR="004B2DB7" w:rsidRPr="00982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A1F1A"/>
    <w:multiLevelType w:val="hybridMultilevel"/>
    <w:tmpl w:val="099C1F2C"/>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DCF63C3"/>
    <w:multiLevelType w:val="hybridMultilevel"/>
    <w:tmpl w:val="46DE0520"/>
    <w:lvl w:ilvl="0" w:tplc="ED1CD412">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94654C"/>
    <w:multiLevelType w:val="hybridMultilevel"/>
    <w:tmpl w:val="6EE4B964"/>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754E1E"/>
    <w:multiLevelType w:val="hybridMultilevel"/>
    <w:tmpl w:val="1B806AF2"/>
    <w:lvl w:ilvl="0" w:tplc="C9EAC64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A3E7664"/>
    <w:multiLevelType w:val="hybridMultilevel"/>
    <w:tmpl w:val="7C207DE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DFB5402"/>
    <w:multiLevelType w:val="hybridMultilevel"/>
    <w:tmpl w:val="1656371A"/>
    <w:lvl w:ilvl="0" w:tplc="51CC533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5154FB8"/>
    <w:multiLevelType w:val="hybridMultilevel"/>
    <w:tmpl w:val="38520166"/>
    <w:lvl w:ilvl="0" w:tplc="27568448">
      <w:start w:val="1"/>
      <w:numFmt w:val="decimal"/>
      <w:lvlText w:val="%1."/>
      <w:lvlJc w:val="left"/>
      <w:pPr>
        <w:ind w:left="720" w:hanging="360"/>
      </w:pPr>
      <w:rPr>
        <w:rFonts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42338A"/>
    <w:multiLevelType w:val="hybridMultilevel"/>
    <w:tmpl w:val="436C000C"/>
    <w:lvl w:ilvl="0" w:tplc="BE2AE678">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04A312E"/>
    <w:multiLevelType w:val="hybridMultilevel"/>
    <w:tmpl w:val="4E3CACEC"/>
    <w:lvl w:ilvl="0" w:tplc="8CB8E7FE">
      <w:start w:val="1"/>
      <w:numFmt w:val="lowerRoman"/>
      <w:lvlText w:val="(%1)"/>
      <w:lvlJc w:val="left"/>
      <w:pPr>
        <w:ind w:left="1080" w:hanging="720"/>
      </w:pPr>
      <w:rPr>
        <w:rFonts w:hint="default"/>
      </w:rPr>
    </w:lvl>
    <w:lvl w:ilvl="1" w:tplc="4ED48F2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2007E"/>
    <w:multiLevelType w:val="hybridMultilevel"/>
    <w:tmpl w:val="9A0684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3AA76057"/>
    <w:multiLevelType w:val="hybridMultilevel"/>
    <w:tmpl w:val="1D6E63AA"/>
    <w:lvl w:ilvl="0" w:tplc="54F49052">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42880DCE"/>
    <w:multiLevelType w:val="hybridMultilevel"/>
    <w:tmpl w:val="8A7060DC"/>
    <w:lvl w:ilvl="0" w:tplc="CB40CABE">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62127E0"/>
    <w:multiLevelType w:val="multilevel"/>
    <w:tmpl w:val="5E2083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85C2B8E"/>
    <w:multiLevelType w:val="multilevel"/>
    <w:tmpl w:val="679E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3C1DE5"/>
    <w:multiLevelType w:val="hybridMultilevel"/>
    <w:tmpl w:val="2EB667C4"/>
    <w:lvl w:ilvl="0" w:tplc="E5BA9A2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hint="default"/>
      </w:rPr>
    </w:lvl>
    <w:lvl w:ilvl="2" w:tplc="D1765BB2">
      <w:numFmt w:val="bullet"/>
      <w:lvlText w:val="-"/>
      <w:lvlJc w:val="left"/>
      <w:pPr>
        <w:ind w:left="1800" w:hanging="360"/>
      </w:pPr>
      <w:rPr>
        <w:rFonts w:ascii="Times New Roman" w:eastAsia="MS Mincho"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A70C4"/>
    <w:multiLevelType w:val="hybridMultilevel"/>
    <w:tmpl w:val="0C6AB9CA"/>
    <w:lvl w:ilvl="0" w:tplc="AFEC71EC">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63754B9C"/>
    <w:multiLevelType w:val="hybridMultilevel"/>
    <w:tmpl w:val="8228CF94"/>
    <w:lvl w:ilvl="0" w:tplc="E5BA9A2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2576C9"/>
    <w:multiLevelType w:val="hybridMultilevel"/>
    <w:tmpl w:val="BB844E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D5F1BAF"/>
    <w:multiLevelType w:val="multilevel"/>
    <w:tmpl w:val="66AC3B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910651"/>
    <w:multiLevelType w:val="hybridMultilevel"/>
    <w:tmpl w:val="5712E698"/>
    <w:lvl w:ilvl="0" w:tplc="0784C864">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7"/>
  </w:num>
  <w:num w:numId="2">
    <w:abstractNumId w:val="3"/>
  </w:num>
  <w:num w:numId="3">
    <w:abstractNumId w:val="4"/>
  </w:num>
  <w:num w:numId="4">
    <w:abstractNumId w:val="11"/>
  </w:num>
  <w:num w:numId="5">
    <w:abstractNumId w:val="0"/>
  </w:num>
  <w:num w:numId="6">
    <w:abstractNumId w:val="7"/>
  </w:num>
  <w:num w:numId="7">
    <w:abstractNumId w:val="9"/>
  </w:num>
  <w:num w:numId="8">
    <w:abstractNumId w:val="2"/>
  </w:num>
  <w:num w:numId="9">
    <w:abstractNumId w:val="18"/>
  </w:num>
  <w:num w:numId="10">
    <w:abstractNumId w:val="19"/>
  </w:num>
  <w:num w:numId="11">
    <w:abstractNumId w:val="10"/>
  </w:num>
  <w:num w:numId="12">
    <w:abstractNumId w:val="15"/>
  </w:num>
  <w:num w:numId="13">
    <w:abstractNumId w:val="12"/>
  </w:num>
  <w:num w:numId="14">
    <w:abstractNumId w:val="1"/>
  </w:num>
  <w:num w:numId="15">
    <w:abstractNumId w:val="16"/>
  </w:num>
  <w:num w:numId="16">
    <w:abstractNumId w:val="14"/>
  </w:num>
  <w:num w:numId="17">
    <w:abstractNumId w:val="8"/>
  </w:num>
  <w:num w:numId="18">
    <w:abstractNumId w:val="6"/>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NrIwMTA3NjcxMDZU0lEKTi0uzszPAykwrAUAtFOqmSwAAAA="/>
  </w:docVars>
  <w:rsids>
    <w:rsidRoot w:val="0098425A"/>
    <w:rsid w:val="00001CF7"/>
    <w:rsid w:val="000234D2"/>
    <w:rsid w:val="000263B6"/>
    <w:rsid w:val="00035EEB"/>
    <w:rsid w:val="0003651C"/>
    <w:rsid w:val="000420FB"/>
    <w:rsid w:val="00044855"/>
    <w:rsid w:val="00045F08"/>
    <w:rsid w:val="00051CAF"/>
    <w:rsid w:val="00052357"/>
    <w:rsid w:val="000530AC"/>
    <w:rsid w:val="00053AC2"/>
    <w:rsid w:val="00055DFC"/>
    <w:rsid w:val="00062F8B"/>
    <w:rsid w:val="00064DCE"/>
    <w:rsid w:val="00065374"/>
    <w:rsid w:val="0007014A"/>
    <w:rsid w:val="00086561"/>
    <w:rsid w:val="0008753A"/>
    <w:rsid w:val="0009151D"/>
    <w:rsid w:val="0009568D"/>
    <w:rsid w:val="000A13E4"/>
    <w:rsid w:val="000B4975"/>
    <w:rsid w:val="000B7197"/>
    <w:rsid w:val="000B7371"/>
    <w:rsid w:val="000B7B86"/>
    <w:rsid w:val="000C7BFD"/>
    <w:rsid w:val="000D0033"/>
    <w:rsid w:val="000D1196"/>
    <w:rsid w:val="000D3358"/>
    <w:rsid w:val="00101A5F"/>
    <w:rsid w:val="001036AF"/>
    <w:rsid w:val="00110108"/>
    <w:rsid w:val="0012605D"/>
    <w:rsid w:val="001377D2"/>
    <w:rsid w:val="001421DB"/>
    <w:rsid w:val="001453E1"/>
    <w:rsid w:val="00164215"/>
    <w:rsid w:val="001671A3"/>
    <w:rsid w:val="0018275A"/>
    <w:rsid w:val="00184639"/>
    <w:rsid w:val="00190B25"/>
    <w:rsid w:val="00194CDF"/>
    <w:rsid w:val="001B7848"/>
    <w:rsid w:val="001D0F35"/>
    <w:rsid w:val="001D2F18"/>
    <w:rsid w:val="001D4DC5"/>
    <w:rsid w:val="001D50AD"/>
    <w:rsid w:val="00210D18"/>
    <w:rsid w:val="00224119"/>
    <w:rsid w:val="00236ACD"/>
    <w:rsid w:val="002428DB"/>
    <w:rsid w:val="002445B6"/>
    <w:rsid w:val="00256B4A"/>
    <w:rsid w:val="0026601E"/>
    <w:rsid w:val="002742DA"/>
    <w:rsid w:val="0028366B"/>
    <w:rsid w:val="00283E99"/>
    <w:rsid w:val="002863F7"/>
    <w:rsid w:val="002B015E"/>
    <w:rsid w:val="002B0BC9"/>
    <w:rsid w:val="002B3B15"/>
    <w:rsid w:val="002C0B82"/>
    <w:rsid w:val="002C214C"/>
    <w:rsid w:val="002C5045"/>
    <w:rsid w:val="002D351A"/>
    <w:rsid w:val="002D7565"/>
    <w:rsid w:val="002E2B8A"/>
    <w:rsid w:val="002E4B1A"/>
    <w:rsid w:val="002E7E08"/>
    <w:rsid w:val="002F16CC"/>
    <w:rsid w:val="002F6546"/>
    <w:rsid w:val="00300287"/>
    <w:rsid w:val="003009A5"/>
    <w:rsid w:val="0030633D"/>
    <w:rsid w:val="0030771D"/>
    <w:rsid w:val="00311A5F"/>
    <w:rsid w:val="00327076"/>
    <w:rsid w:val="0032725D"/>
    <w:rsid w:val="003303F3"/>
    <w:rsid w:val="00330736"/>
    <w:rsid w:val="00343F3D"/>
    <w:rsid w:val="00346A37"/>
    <w:rsid w:val="00356F8C"/>
    <w:rsid w:val="00360A47"/>
    <w:rsid w:val="0036473D"/>
    <w:rsid w:val="00371C15"/>
    <w:rsid w:val="0038438B"/>
    <w:rsid w:val="00386264"/>
    <w:rsid w:val="00391123"/>
    <w:rsid w:val="00392C8F"/>
    <w:rsid w:val="003941E9"/>
    <w:rsid w:val="00394A4D"/>
    <w:rsid w:val="003A18F7"/>
    <w:rsid w:val="003A3156"/>
    <w:rsid w:val="003A6388"/>
    <w:rsid w:val="003A6DB8"/>
    <w:rsid w:val="003D4C44"/>
    <w:rsid w:val="003E60FD"/>
    <w:rsid w:val="003F329A"/>
    <w:rsid w:val="003F4D7A"/>
    <w:rsid w:val="003F7AF2"/>
    <w:rsid w:val="003F7C28"/>
    <w:rsid w:val="00401A83"/>
    <w:rsid w:val="0040251A"/>
    <w:rsid w:val="00403408"/>
    <w:rsid w:val="00421F49"/>
    <w:rsid w:val="004242ED"/>
    <w:rsid w:val="00440668"/>
    <w:rsid w:val="00440B4D"/>
    <w:rsid w:val="00440D68"/>
    <w:rsid w:val="0044128A"/>
    <w:rsid w:val="00446353"/>
    <w:rsid w:val="00446B0A"/>
    <w:rsid w:val="00456035"/>
    <w:rsid w:val="004570AD"/>
    <w:rsid w:val="00464316"/>
    <w:rsid w:val="00471355"/>
    <w:rsid w:val="004734D9"/>
    <w:rsid w:val="00476D8C"/>
    <w:rsid w:val="00494310"/>
    <w:rsid w:val="004A05A5"/>
    <w:rsid w:val="004A5801"/>
    <w:rsid w:val="004B2DB7"/>
    <w:rsid w:val="004C05BB"/>
    <w:rsid w:val="004C14FF"/>
    <w:rsid w:val="004C6000"/>
    <w:rsid w:val="004C7117"/>
    <w:rsid w:val="004D3E6E"/>
    <w:rsid w:val="004D416A"/>
    <w:rsid w:val="004D53C9"/>
    <w:rsid w:val="004E7AB2"/>
    <w:rsid w:val="004F4C6A"/>
    <w:rsid w:val="004F73B8"/>
    <w:rsid w:val="00500F87"/>
    <w:rsid w:val="005040E0"/>
    <w:rsid w:val="00511DDF"/>
    <w:rsid w:val="0051597E"/>
    <w:rsid w:val="00527314"/>
    <w:rsid w:val="00537E07"/>
    <w:rsid w:val="00542FEC"/>
    <w:rsid w:val="005469E0"/>
    <w:rsid w:val="005522A6"/>
    <w:rsid w:val="00562524"/>
    <w:rsid w:val="00575D24"/>
    <w:rsid w:val="0059063D"/>
    <w:rsid w:val="00591808"/>
    <w:rsid w:val="00596D33"/>
    <w:rsid w:val="005A7644"/>
    <w:rsid w:val="005B031A"/>
    <w:rsid w:val="005C4489"/>
    <w:rsid w:val="005C65DB"/>
    <w:rsid w:val="005D2D24"/>
    <w:rsid w:val="005E38AC"/>
    <w:rsid w:val="005E5803"/>
    <w:rsid w:val="005F478B"/>
    <w:rsid w:val="00600BEE"/>
    <w:rsid w:val="006144B1"/>
    <w:rsid w:val="00617BF2"/>
    <w:rsid w:val="0062119C"/>
    <w:rsid w:val="00621D3B"/>
    <w:rsid w:val="00623D74"/>
    <w:rsid w:val="00625FBD"/>
    <w:rsid w:val="00643165"/>
    <w:rsid w:val="00646658"/>
    <w:rsid w:val="00646ACC"/>
    <w:rsid w:val="00647C01"/>
    <w:rsid w:val="006508A4"/>
    <w:rsid w:val="00651BF2"/>
    <w:rsid w:val="00654EE1"/>
    <w:rsid w:val="006573A4"/>
    <w:rsid w:val="00657B58"/>
    <w:rsid w:val="006717D8"/>
    <w:rsid w:val="00672ECA"/>
    <w:rsid w:val="00673538"/>
    <w:rsid w:val="00677A70"/>
    <w:rsid w:val="00683A24"/>
    <w:rsid w:val="00686B59"/>
    <w:rsid w:val="00686ED6"/>
    <w:rsid w:val="0069260D"/>
    <w:rsid w:val="0069674B"/>
    <w:rsid w:val="00697189"/>
    <w:rsid w:val="006A4869"/>
    <w:rsid w:val="006B2504"/>
    <w:rsid w:val="006B5724"/>
    <w:rsid w:val="006C0624"/>
    <w:rsid w:val="006D12AC"/>
    <w:rsid w:val="006D5608"/>
    <w:rsid w:val="006F3C49"/>
    <w:rsid w:val="00704D98"/>
    <w:rsid w:val="00706912"/>
    <w:rsid w:val="007139FB"/>
    <w:rsid w:val="00715D94"/>
    <w:rsid w:val="00731559"/>
    <w:rsid w:val="00731C79"/>
    <w:rsid w:val="0073771E"/>
    <w:rsid w:val="00737A92"/>
    <w:rsid w:val="00742BC7"/>
    <w:rsid w:val="00750971"/>
    <w:rsid w:val="00751AD7"/>
    <w:rsid w:val="0075543E"/>
    <w:rsid w:val="00757B69"/>
    <w:rsid w:val="00762A4E"/>
    <w:rsid w:val="00763ADD"/>
    <w:rsid w:val="007721F8"/>
    <w:rsid w:val="00773B5D"/>
    <w:rsid w:val="00785FCE"/>
    <w:rsid w:val="00786BFD"/>
    <w:rsid w:val="00787398"/>
    <w:rsid w:val="00790107"/>
    <w:rsid w:val="0079191E"/>
    <w:rsid w:val="007A6536"/>
    <w:rsid w:val="007B2CDD"/>
    <w:rsid w:val="007B3470"/>
    <w:rsid w:val="007B63FF"/>
    <w:rsid w:val="007C190F"/>
    <w:rsid w:val="007F7850"/>
    <w:rsid w:val="00806A59"/>
    <w:rsid w:val="00811D36"/>
    <w:rsid w:val="008131CA"/>
    <w:rsid w:val="00832096"/>
    <w:rsid w:val="008336ED"/>
    <w:rsid w:val="008347BB"/>
    <w:rsid w:val="00852243"/>
    <w:rsid w:val="00855F8D"/>
    <w:rsid w:val="008621B6"/>
    <w:rsid w:val="0087568B"/>
    <w:rsid w:val="00881664"/>
    <w:rsid w:val="0088231C"/>
    <w:rsid w:val="008866CC"/>
    <w:rsid w:val="0089039E"/>
    <w:rsid w:val="00890C2D"/>
    <w:rsid w:val="00891382"/>
    <w:rsid w:val="0089145B"/>
    <w:rsid w:val="00891CF0"/>
    <w:rsid w:val="00896FFA"/>
    <w:rsid w:val="008B4F0D"/>
    <w:rsid w:val="008B606F"/>
    <w:rsid w:val="008D4608"/>
    <w:rsid w:val="008E6F04"/>
    <w:rsid w:val="008F00C4"/>
    <w:rsid w:val="008F0A25"/>
    <w:rsid w:val="008F6B8D"/>
    <w:rsid w:val="008F777C"/>
    <w:rsid w:val="009252B1"/>
    <w:rsid w:val="00937056"/>
    <w:rsid w:val="00941C36"/>
    <w:rsid w:val="00943B6E"/>
    <w:rsid w:val="00943C46"/>
    <w:rsid w:val="0094467D"/>
    <w:rsid w:val="009448D4"/>
    <w:rsid w:val="0094570A"/>
    <w:rsid w:val="00945CB5"/>
    <w:rsid w:val="0095403E"/>
    <w:rsid w:val="00961E2A"/>
    <w:rsid w:val="0096281E"/>
    <w:rsid w:val="00963597"/>
    <w:rsid w:val="00974AD6"/>
    <w:rsid w:val="00982B25"/>
    <w:rsid w:val="0098425A"/>
    <w:rsid w:val="00984FD3"/>
    <w:rsid w:val="009926A7"/>
    <w:rsid w:val="00995228"/>
    <w:rsid w:val="00995B16"/>
    <w:rsid w:val="009A4BD6"/>
    <w:rsid w:val="009A6740"/>
    <w:rsid w:val="009B7295"/>
    <w:rsid w:val="009D50BF"/>
    <w:rsid w:val="009D7652"/>
    <w:rsid w:val="009E2819"/>
    <w:rsid w:val="009E5991"/>
    <w:rsid w:val="009E79D3"/>
    <w:rsid w:val="00A20113"/>
    <w:rsid w:val="00A25F56"/>
    <w:rsid w:val="00A3485C"/>
    <w:rsid w:val="00A41A21"/>
    <w:rsid w:val="00A45587"/>
    <w:rsid w:val="00A4791D"/>
    <w:rsid w:val="00A60427"/>
    <w:rsid w:val="00A62FAA"/>
    <w:rsid w:val="00A65CA0"/>
    <w:rsid w:val="00A82437"/>
    <w:rsid w:val="00A854E6"/>
    <w:rsid w:val="00A94FB3"/>
    <w:rsid w:val="00A965F2"/>
    <w:rsid w:val="00AA0201"/>
    <w:rsid w:val="00AA3FF4"/>
    <w:rsid w:val="00AA48F4"/>
    <w:rsid w:val="00AA5CDF"/>
    <w:rsid w:val="00AB14DD"/>
    <w:rsid w:val="00AB51A1"/>
    <w:rsid w:val="00AC467A"/>
    <w:rsid w:val="00AC4ED6"/>
    <w:rsid w:val="00AE3B3A"/>
    <w:rsid w:val="00AE6004"/>
    <w:rsid w:val="00AE6166"/>
    <w:rsid w:val="00AE638F"/>
    <w:rsid w:val="00AF4EA4"/>
    <w:rsid w:val="00B0390F"/>
    <w:rsid w:val="00B07AB3"/>
    <w:rsid w:val="00B10A20"/>
    <w:rsid w:val="00B230EB"/>
    <w:rsid w:val="00B24AC0"/>
    <w:rsid w:val="00B264D7"/>
    <w:rsid w:val="00B32E83"/>
    <w:rsid w:val="00B415E0"/>
    <w:rsid w:val="00B42B02"/>
    <w:rsid w:val="00B66178"/>
    <w:rsid w:val="00B73887"/>
    <w:rsid w:val="00B74ABC"/>
    <w:rsid w:val="00B8490F"/>
    <w:rsid w:val="00B94000"/>
    <w:rsid w:val="00B97F27"/>
    <w:rsid w:val="00BA20DB"/>
    <w:rsid w:val="00BA35BC"/>
    <w:rsid w:val="00BA40F9"/>
    <w:rsid w:val="00BA5CD9"/>
    <w:rsid w:val="00BB31D3"/>
    <w:rsid w:val="00BB34CE"/>
    <w:rsid w:val="00BD7BC7"/>
    <w:rsid w:val="00C00339"/>
    <w:rsid w:val="00C00C3A"/>
    <w:rsid w:val="00C05DD4"/>
    <w:rsid w:val="00C16A93"/>
    <w:rsid w:val="00C23922"/>
    <w:rsid w:val="00C2484A"/>
    <w:rsid w:val="00C4297E"/>
    <w:rsid w:val="00C5538A"/>
    <w:rsid w:val="00C7064E"/>
    <w:rsid w:val="00C7154D"/>
    <w:rsid w:val="00C748DC"/>
    <w:rsid w:val="00C77323"/>
    <w:rsid w:val="00C82124"/>
    <w:rsid w:val="00C93D31"/>
    <w:rsid w:val="00C9701B"/>
    <w:rsid w:val="00CA34FD"/>
    <w:rsid w:val="00CA466F"/>
    <w:rsid w:val="00CC0367"/>
    <w:rsid w:val="00CC1C9E"/>
    <w:rsid w:val="00CC1FB1"/>
    <w:rsid w:val="00CD05B3"/>
    <w:rsid w:val="00CD210E"/>
    <w:rsid w:val="00CD5357"/>
    <w:rsid w:val="00CE2A3C"/>
    <w:rsid w:val="00CE5CC2"/>
    <w:rsid w:val="00CF0F29"/>
    <w:rsid w:val="00CF6916"/>
    <w:rsid w:val="00D16E96"/>
    <w:rsid w:val="00D2340E"/>
    <w:rsid w:val="00D3386A"/>
    <w:rsid w:val="00D3512B"/>
    <w:rsid w:val="00D42433"/>
    <w:rsid w:val="00D43F81"/>
    <w:rsid w:val="00D45791"/>
    <w:rsid w:val="00D53169"/>
    <w:rsid w:val="00D6171F"/>
    <w:rsid w:val="00D64DEB"/>
    <w:rsid w:val="00D66619"/>
    <w:rsid w:val="00D7038E"/>
    <w:rsid w:val="00D70A5B"/>
    <w:rsid w:val="00D70E4B"/>
    <w:rsid w:val="00D72EC4"/>
    <w:rsid w:val="00D814BA"/>
    <w:rsid w:val="00DA0700"/>
    <w:rsid w:val="00DA6768"/>
    <w:rsid w:val="00DB7321"/>
    <w:rsid w:val="00DB7EFA"/>
    <w:rsid w:val="00DC4AD5"/>
    <w:rsid w:val="00DE2FF5"/>
    <w:rsid w:val="00DE5921"/>
    <w:rsid w:val="00DE6A14"/>
    <w:rsid w:val="00E065BC"/>
    <w:rsid w:val="00E322DA"/>
    <w:rsid w:val="00E36024"/>
    <w:rsid w:val="00E4253D"/>
    <w:rsid w:val="00E545AE"/>
    <w:rsid w:val="00E647EE"/>
    <w:rsid w:val="00E71A24"/>
    <w:rsid w:val="00E76503"/>
    <w:rsid w:val="00E95FE2"/>
    <w:rsid w:val="00EB189B"/>
    <w:rsid w:val="00EC16F2"/>
    <w:rsid w:val="00EC76ED"/>
    <w:rsid w:val="00ED1A71"/>
    <w:rsid w:val="00ED36FA"/>
    <w:rsid w:val="00ED53C0"/>
    <w:rsid w:val="00EE5280"/>
    <w:rsid w:val="00EE6EB7"/>
    <w:rsid w:val="00EF39D5"/>
    <w:rsid w:val="00F03E63"/>
    <w:rsid w:val="00F048A9"/>
    <w:rsid w:val="00F113DA"/>
    <w:rsid w:val="00F11EF2"/>
    <w:rsid w:val="00F12AE5"/>
    <w:rsid w:val="00F14F62"/>
    <w:rsid w:val="00F16747"/>
    <w:rsid w:val="00F216EB"/>
    <w:rsid w:val="00F228B1"/>
    <w:rsid w:val="00F239AE"/>
    <w:rsid w:val="00F25E7D"/>
    <w:rsid w:val="00F33BF7"/>
    <w:rsid w:val="00F34B4E"/>
    <w:rsid w:val="00F52367"/>
    <w:rsid w:val="00F6089F"/>
    <w:rsid w:val="00F65343"/>
    <w:rsid w:val="00F66A39"/>
    <w:rsid w:val="00F7129E"/>
    <w:rsid w:val="00F8193C"/>
    <w:rsid w:val="00F913A1"/>
    <w:rsid w:val="00FA1382"/>
    <w:rsid w:val="00FA40D9"/>
    <w:rsid w:val="00FA4F8C"/>
    <w:rsid w:val="00FA6660"/>
    <w:rsid w:val="00FB20AA"/>
    <w:rsid w:val="00FD0E75"/>
    <w:rsid w:val="00FD56B8"/>
    <w:rsid w:val="00FE033C"/>
    <w:rsid w:val="00FE59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7925"/>
  <w15:chartTrackingRefBased/>
  <w15:docId w15:val="{2E240A9D-EEA8-457E-8953-539AD3CF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7D8"/>
    <w:pPr>
      <w:keepNext/>
      <w:keepLines/>
      <w:spacing w:before="480" w:after="0" w:line="276" w:lineRule="auto"/>
      <w:jc w:val="both"/>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25A"/>
    <w:pPr>
      <w:ind w:left="720"/>
      <w:contextualSpacing/>
    </w:pPr>
  </w:style>
  <w:style w:type="paragraph" w:customStyle="1" w:styleId="Default">
    <w:name w:val="Default"/>
    <w:rsid w:val="00751A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65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5403E"/>
    <w:pPr>
      <w:pBdr>
        <w:bottom w:val="single" w:sz="8" w:space="4" w:color="4472C4" w:themeColor="accent1"/>
      </w:pBdr>
      <w:spacing w:after="300" w:line="240" w:lineRule="auto"/>
      <w:contextualSpacing/>
      <w:jc w:val="both"/>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95403E"/>
    <w:rPr>
      <w:rFonts w:asciiTheme="majorHAnsi" w:eastAsiaTheme="majorEastAsia" w:hAnsiTheme="majorHAnsi" w:cstheme="majorBidi"/>
      <w:color w:val="323E4F"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D2340E"/>
    <w:rPr>
      <w:sz w:val="16"/>
      <w:szCs w:val="16"/>
    </w:rPr>
  </w:style>
  <w:style w:type="paragraph" w:styleId="CommentText">
    <w:name w:val="annotation text"/>
    <w:basedOn w:val="Normal"/>
    <w:link w:val="CommentTextChar"/>
    <w:uiPriority w:val="99"/>
    <w:semiHidden/>
    <w:unhideWhenUsed/>
    <w:rsid w:val="00D2340E"/>
    <w:pPr>
      <w:spacing w:line="240" w:lineRule="auto"/>
    </w:pPr>
    <w:rPr>
      <w:sz w:val="20"/>
      <w:szCs w:val="20"/>
    </w:rPr>
  </w:style>
  <w:style w:type="character" w:customStyle="1" w:styleId="CommentTextChar">
    <w:name w:val="Comment Text Char"/>
    <w:basedOn w:val="DefaultParagraphFont"/>
    <w:link w:val="CommentText"/>
    <w:uiPriority w:val="99"/>
    <w:semiHidden/>
    <w:rsid w:val="00D2340E"/>
    <w:rPr>
      <w:sz w:val="20"/>
      <w:szCs w:val="20"/>
    </w:rPr>
  </w:style>
  <w:style w:type="paragraph" w:styleId="CommentSubject">
    <w:name w:val="annotation subject"/>
    <w:basedOn w:val="CommentText"/>
    <w:next w:val="CommentText"/>
    <w:link w:val="CommentSubjectChar"/>
    <w:uiPriority w:val="99"/>
    <w:semiHidden/>
    <w:unhideWhenUsed/>
    <w:rsid w:val="00D2340E"/>
    <w:rPr>
      <w:b/>
      <w:bCs/>
    </w:rPr>
  </w:style>
  <w:style w:type="character" w:customStyle="1" w:styleId="CommentSubjectChar">
    <w:name w:val="Comment Subject Char"/>
    <w:basedOn w:val="CommentTextChar"/>
    <w:link w:val="CommentSubject"/>
    <w:uiPriority w:val="99"/>
    <w:semiHidden/>
    <w:rsid w:val="00D2340E"/>
    <w:rPr>
      <w:b/>
      <w:bCs/>
      <w:sz w:val="20"/>
      <w:szCs w:val="20"/>
    </w:rPr>
  </w:style>
  <w:style w:type="paragraph" w:styleId="BalloonText">
    <w:name w:val="Balloon Text"/>
    <w:basedOn w:val="Normal"/>
    <w:link w:val="BalloonTextChar"/>
    <w:uiPriority w:val="99"/>
    <w:semiHidden/>
    <w:unhideWhenUsed/>
    <w:rsid w:val="00D2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0E"/>
    <w:rPr>
      <w:rFonts w:ascii="Segoe UI" w:hAnsi="Segoe UI" w:cs="Segoe UI"/>
      <w:sz w:val="18"/>
      <w:szCs w:val="18"/>
    </w:rPr>
  </w:style>
  <w:style w:type="character" w:customStyle="1" w:styleId="Heading1Char">
    <w:name w:val="Heading 1 Char"/>
    <w:basedOn w:val="DefaultParagraphFont"/>
    <w:link w:val="Heading1"/>
    <w:uiPriority w:val="9"/>
    <w:rsid w:val="006717D8"/>
    <w:rPr>
      <w:rFonts w:asciiTheme="majorHAnsi" w:eastAsiaTheme="majorEastAsia" w:hAnsiTheme="majorHAnsi" w:cstheme="majorBidi"/>
      <w:b/>
      <w:bCs/>
      <w:color w:val="2F5496"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4095">
      <w:bodyDiv w:val="1"/>
      <w:marLeft w:val="0"/>
      <w:marRight w:val="0"/>
      <w:marTop w:val="0"/>
      <w:marBottom w:val="0"/>
      <w:divBdr>
        <w:top w:val="none" w:sz="0" w:space="0" w:color="auto"/>
        <w:left w:val="none" w:sz="0" w:space="0" w:color="auto"/>
        <w:bottom w:val="none" w:sz="0" w:space="0" w:color="auto"/>
        <w:right w:val="none" w:sz="0" w:space="0" w:color="auto"/>
      </w:divBdr>
      <w:divsChild>
        <w:div w:id="192111127">
          <w:marLeft w:val="0"/>
          <w:marRight w:val="0"/>
          <w:marTop w:val="0"/>
          <w:marBottom w:val="0"/>
          <w:divBdr>
            <w:top w:val="none" w:sz="0" w:space="0" w:color="auto"/>
            <w:left w:val="none" w:sz="0" w:space="0" w:color="auto"/>
            <w:bottom w:val="none" w:sz="0" w:space="0" w:color="auto"/>
            <w:right w:val="none" w:sz="0" w:space="0" w:color="auto"/>
          </w:divBdr>
        </w:div>
        <w:div w:id="527917350">
          <w:marLeft w:val="0"/>
          <w:marRight w:val="0"/>
          <w:marTop w:val="0"/>
          <w:marBottom w:val="0"/>
          <w:divBdr>
            <w:top w:val="none" w:sz="0" w:space="0" w:color="auto"/>
            <w:left w:val="none" w:sz="0" w:space="0" w:color="auto"/>
            <w:bottom w:val="none" w:sz="0" w:space="0" w:color="auto"/>
            <w:right w:val="none" w:sz="0" w:space="0" w:color="auto"/>
          </w:divBdr>
        </w:div>
        <w:div w:id="646514259">
          <w:marLeft w:val="0"/>
          <w:marRight w:val="0"/>
          <w:marTop w:val="0"/>
          <w:marBottom w:val="0"/>
          <w:divBdr>
            <w:top w:val="none" w:sz="0" w:space="0" w:color="auto"/>
            <w:left w:val="none" w:sz="0" w:space="0" w:color="auto"/>
            <w:bottom w:val="none" w:sz="0" w:space="0" w:color="auto"/>
            <w:right w:val="none" w:sz="0" w:space="0" w:color="auto"/>
          </w:divBdr>
        </w:div>
        <w:div w:id="565724511">
          <w:marLeft w:val="0"/>
          <w:marRight w:val="0"/>
          <w:marTop w:val="0"/>
          <w:marBottom w:val="0"/>
          <w:divBdr>
            <w:top w:val="none" w:sz="0" w:space="0" w:color="auto"/>
            <w:left w:val="none" w:sz="0" w:space="0" w:color="auto"/>
            <w:bottom w:val="none" w:sz="0" w:space="0" w:color="auto"/>
            <w:right w:val="none" w:sz="0" w:space="0" w:color="auto"/>
          </w:divBdr>
        </w:div>
        <w:div w:id="1661231816">
          <w:marLeft w:val="0"/>
          <w:marRight w:val="0"/>
          <w:marTop w:val="0"/>
          <w:marBottom w:val="0"/>
          <w:divBdr>
            <w:top w:val="none" w:sz="0" w:space="0" w:color="auto"/>
            <w:left w:val="none" w:sz="0" w:space="0" w:color="auto"/>
            <w:bottom w:val="none" w:sz="0" w:space="0" w:color="auto"/>
            <w:right w:val="none" w:sz="0" w:space="0" w:color="auto"/>
          </w:divBdr>
        </w:div>
        <w:div w:id="1113791201">
          <w:marLeft w:val="0"/>
          <w:marRight w:val="0"/>
          <w:marTop w:val="0"/>
          <w:marBottom w:val="0"/>
          <w:divBdr>
            <w:top w:val="none" w:sz="0" w:space="0" w:color="auto"/>
            <w:left w:val="none" w:sz="0" w:space="0" w:color="auto"/>
            <w:bottom w:val="none" w:sz="0" w:space="0" w:color="auto"/>
            <w:right w:val="none" w:sz="0" w:space="0" w:color="auto"/>
          </w:divBdr>
        </w:div>
        <w:div w:id="697318978">
          <w:marLeft w:val="0"/>
          <w:marRight w:val="0"/>
          <w:marTop w:val="0"/>
          <w:marBottom w:val="0"/>
          <w:divBdr>
            <w:top w:val="none" w:sz="0" w:space="0" w:color="auto"/>
            <w:left w:val="none" w:sz="0" w:space="0" w:color="auto"/>
            <w:bottom w:val="none" w:sz="0" w:space="0" w:color="auto"/>
            <w:right w:val="none" w:sz="0" w:space="0" w:color="auto"/>
          </w:divBdr>
        </w:div>
      </w:divsChild>
    </w:div>
    <w:div w:id="19574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2594777AD30044EB899CBB07D050F92" ma:contentTypeVersion="13" ma:contentTypeDescription="Opret et nyt dokument." ma:contentTypeScope="" ma:versionID="981ae47b4a2530994e2f308559ef7e5d">
  <xsd:schema xmlns:xsd="http://www.w3.org/2001/XMLSchema" xmlns:xs="http://www.w3.org/2001/XMLSchema" xmlns:p="http://schemas.microsoft.com/office/2006/metadata/properties" xmlns:ns3="b6066613-03b8-493f-9b81-b7bfd1e400f5" xmlns:ns4="2411a3dd-0540-47c1-a5c7-48d07d56568f" targetNamespace="http://schemas.microsoft.com/office/2006/metadata/properties" ma:root="true" ma:fieldsID="d74a92620a4400661d92308db766b066" ns3:_="" ns4:_="">
    <xsd:import namespace="b6066613-03b8-493f-9b81-b7bfd1e400f5"/>
    <xsd:import namespace="2411a3dd-0540-47c1-a5c7-48d07d5656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66613-03b8-493f-9b81-b7bfd1e40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1a3dd-0540-47c1-a5c7-48d07d56568f"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37A3-F4AA-4181-A6F8-29DDA20D20DF}">
  <ds:schemaRefs>
    <ds:schemaRef ds:uri="http://schemas.openxmlformats.org/officeDocument/2006/bibliography"/>
  </ds:schemaRefs>
</ds:datastoreItem>
</file>

<file path=customXml/itemProps2.xml><?xml version="1.0" encoding="utf-8"?>
<ds:datastoreItem xmlns:ds="http://schemas.openxmlformats.org/officeDocument/2006/customXml" ds:itemID="{DDFF0211-A75A-4F8D-8763-EE8D191D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AB0F1-7955-4A4E-8CA5-16301E34AA47}">
  <ds:schemaRefs>
    <ds:schemaRef ds:uri="http://schemas.microsoft.com/sharepoint/v3/contenttype/forms"/>
  </ds:schemaRefs>
</ds:datastoreItem>
</file>

<file path=customXml/itemProps4.xml><?xml version="1.0" encoding="utf-8"?>
<ds:datastoreItem xmlns:ds="http://schemas.openxmlformats.org/officeDocument/2006/customXml" ds:itemID="{DED07712-32AD-4888-BE8C-3ABC56447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66613-03b8-493f-9b81-b7bfd1e400f5"/>
    <ds:schemaRef ds:uri="2411a3dd-0540-47c1-a5c7-48d07d565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2586</Words>
  <Characters>14226</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Barbosa</dc:creator>
  <cp:keywords/>
  <dc:description/>
  <cp:lastModifiedBy>Lina Barbosa</cp:lastModifiedBy>
  <cp:revision>2</cp:revision>
  <dcterms:created xsi:type="dcterms:W3CDTF">2021-03-31T13:30:00Z</dcterms:created>
  <dcterms:modified xsi:type="dcterms:W3CDTF">2021-03-31T13:30:00Z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0x010100C2594777AD30044EB899CBB07D050F92</vt:lpwstr>
  </property>
</Properties>
</file>