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5445" w14:textId="77777777" w:rsidR="00CF7EBA" w:rsidRPr="001C3105" w:rsidRDefault="00CF7EBA" w:rsidP="00CF7EBA">
      <w:pPr>
        <w:spacing w:after="0" w:line="240" w:lineRule="auto"/>
        <w:rPr>
          <w:rFonts w:ascii="Calibri" w:eastAsia="Calibri" w:hAnsi="Calibri" w:cs="Calibri"/>
          <w:lang w:val="en-US"/>
        </w:rPr>
      </w:pPr>
      <w:r w:rsidRPr="001C3105">
        <w:rPr>
          <w:rFonts w:ascii="Calibri" w:eastAsia="Calibri" w:hAnsi="Calibri" w:cs="Calibri"/>
          <w:b/>
          <w:bCs/>
          <w:lang w:val="en-US"/>
        </w:rPr>
        <w:t xml:space="preserve">Position: </w:t>
      </w:r>
      <w:r w:rsidRPr="001C3105">
        <w:rPr>
          <w:rFonts w:ascii="Calibri" w:eastAsia="Calibri" w:hAnsi="Calibri" w:cs="Calibri"/>
          <w:lang w:val="en-US"/>
        </w:rPr>
        <w:t xml:space="preserve">National consultant </w:t>
      </w:r>
    </w:p>
    <w:p w14:paraId="6743B6A0" w14:textId="50242EBB" w:rsidR="00CF7EBA" w:rsidRPr="00C37EC5" w:rsidRDefault="00CF7EBA" w:rsidP="00CF7EBA">
      <w:pPr>
        <w:spacing w:after="0" w:line="240" w:lineRule="auto"/>
        <w:rPr>
          <w:rFonts w:ascii="Calibri" w:eastAsia="Calibri" w:hAnsi="Calibri" w:cs="Calibri"/>
          <w:lang w:val="en-US"/>
        </w:rPr>
      </w:pPr>
      <w:r w:rsidRPr="001C3105">
        <w:rPr>
          <w:rFonts w:ascii="Calibri" w:eastAsia="Calibri" w:hAnsi="Calibri" w:cs="Calibri"/>
          <w:b/>
          <w:bCs/>
          <w:lang w:val="en-US"/>
        </w:rPr>
        <w:t xml:space="preserve">Project </w:t>
      </w:r>
      <w:r w:rsidRPr="00C37EC5">
        <w:rPr>
          <w:rFonts w:ascii="Calibri" w:eastAsia="Calibri" w:hAnsi="Calibri" w:cs="Calibri"/>
          <w:b/>
          <w:bCs/>
          <w:lang w:val="en-US"/>
        </w:rPr>
        <w:t>Title:</w:t>
      </w:r>
      <w:r w:rsidRPr="00C37EC5">
        <w:rPr>
          <w:rFonts w:ascii="Calibri" w:eastAsia="Calibri" w:hAnsi="Calibri" w:cs="Calibri"/>
          <w:lang w:val="en-US"/>
        </w:rPr>
        <w:t xml:space="preserve"> </w:t>
      </w:r>
      <w:r w:rsidR="00EE00F1" w:rsidRPr="00C37EC5">
        <w:rPr>
          <w:lang w:val="en-US"/>
        </w:rPr>
        <w:t>State of the art in mitigation and adaptation indicators of the Agriculture sector</w:t>
      </w:r>
    </w:p>
    <w:p w14:paraId="2BC216FB" w14:textId="195453F9" w:rsidR="00CF7EBA" w:rsidRPr="00C37EC5" w:rsidRDefault="00CF7EBA" w:rsidP="00CF7EBA">
      <w:pPr>
        <w:spacing w:after="0" w:line="240" w:lineRule="auto"/>
        <w:rPr>
          <w:rFonts w:ascii="Calibri" w:eastAsia="Calibri" w:hAnsi="Calibri" w:cs="Calibri"/>
          <w:lang w:val="en-US"/>
        </w:rPr>
      </w:pPr>
      <w:r w:rsidRPr="00C37EC5">
        <w:rPr>
          <w:rFonts w:ascii="Calibri" w:eastAsia="Calibri" w:hAnsi="Calibri" w:cs="Calibri"/>
          <w:b/>
          <w:bCs/>
          <w:lang w:val="en-US"/>
        </w:rPr>
        <w:t xml:space="preserve">Duration: </w:t>
      </w:r>
      <w:r w:rsidR="004051A6" w:rsidRPr="00C37EC5">
        <w:rPr>
          <w:rFonts w:ascii="Calibri" w:eastAsia="Calibri" w:hAnsi="Calibri" w:cs="Calibri"/>
          <w:lang w:val="en-US"/>
        </w:rPr>
        <w:t>14 weeks until</w:t>
      </w:r>
      <w:r w:rsidRPr="00C37EC5">
        <w:rPr>
          <w:rFonts w:ascii="Calibri" w:eastAsia="Calibri" w:hAnsi="Calibri" w:cs="Calibri"/>
          <w:lang w:val="en-US"/>
        </w:rPr>
        <w:t xml:space="preserve"> August 2021</w:t>
      </w:r>
      <w:r w:rsidR="004051A6" w:rsidRPr="00C37EC5">
        <w:rPr>
          <w:rFonts w:ascii="Calibri" w:eastAsia="Calibri" w:hAnsi="Calibri" w:cs="Calibri"/>
          <w:lang w:val="en-US"/>
        </w:rPr>
        <w:t xml:space="preserve"> </w:t>
      </w:r>
    </w:p>
    <w:p w14:paraId="7363A229" w14:textId="2467FCBA" w:rsidR="00CF7EBA" w:rsidRPr="00C05CB6" w:rsidRDefault="00CF7EBA" w:rsidP="00CF7EBA">
      <w:pPr>
        <w:rPr>
          <w:b/>
          <w:bCs/>
          <w:u w:val="single"/>
          <w:lang w:val="en-US"/>
        </w:rPr>
      </w:pPr>
      <w:r w:rsidRPr="00C37EC5">
        <w:rPr>
          <w:rFonts w:ascii="Calibri" w:eastAsia="Calibri" w:hAnsi="Calibri" w:cs="Calibri"/>
          <w:b/>
          <w:bCs/>
          <w:lang w:val="en-US"/>
        </w:rPr>
        <w:t>Application deadline:</w:t>
      </w:r>
      <w:r w:rsidRPr="00C37EC5">
        <w:rPr>
          <w:rFonts w:ascii="Calibri" w:eastAsia="Calibri" w:hAnsi="Calibri" w:cs="Calibri"/>
          <w:lang w:val="en-US"/>
        </w:rPr>
        <w:t xml:space="preserve"> </w:t>
      </w:r>
      <w:r w:rsidR="00C37EC5" w:rsidRPr="00C37EC5">
        <w:rPr>
          <w:rFonts w:ascii="Calibri" w:eastAsia="Calibri" w:hAnsi="Calibri" w:cs="Calibri"/>
          <w:lang w:val="en-US"/>
        </w:rPr>
        <w:t>9</w:t>
      </w:r>
      <w:r w:rsidRPr="00C37EC5">
        <w:rPr>
          <w:rFonts w:ascii="Calibri" w:eastAsia="Calibri" w:hAnsi="Calibri" w:cs="Calibri"/>
          <w:lang w:val="en-US"/>
        </w:rPr>
        <w:t xml:space="preserve"> </w:t>
      </w:r>
      <w:r w:rsidR="0013113E" w:rsidRPr="00C37EC5">
        <w:rPr>
          <w:rFonts w:ascii="Calibri" w:eastAsia="Calibri" w:hAnsi="Calibri" w:cs="Calibri"/>
          <w:lang w:val="en-US"/>
        </w:rPr>
        <w:t>April</w:t>
      </w:r>
      <w:r w:rsidRPr="00C37EC5">
        <w:rPr>
          <w:rFonts w:ascii="Calibri" w:eastAsia="Calibri" w:hAnsi="Calibri" w:cs="Calibri"/>
          <w:lang w:val="en-US"/>
        </w:rPr>
        <w:t xml:space="preserve"> 2021</w:t>
      </w:r>
    </w:p>
    <w:p w14:paraId="527932B5" w14:textId="77777777" w:rsidR="00EE00F1" w:rsidRPr="00C05CB6" w:rsidRDefault="00EE00F1" w:rsidP="00C05CB6">
      <w:pPr>
        <w:numPr>
          <w:ilvl w:val="0"/>
          <w:numId w:val="8"/>
        </w:numPr>
        <w:rPr>
          <w:b/>
          <w:bCs/>
          <w:u w:val="single"/>
          <w:lang w:val="en-US"/>
        </w:rPr>
      </w:pPr>
      <w:r w:rsidRPr="00C05CB6">
        <w:rPr>
          <w:b/>
          <w:bCs/>
          <w:u w:val="single"/>
          <w:lang w:val="en-US"/>
        </w:rPr>
        <w:t>Background</w:t>
      </w:r>
    </w:p>
    <w:p w14:paraId="164826F4" w14:textId="11FED0AC" w:rsidR="000B5E65" w:rsidRPr="00FF04A8" w:rsidRDefault="00F85F7D" w:rsidP="00F85F7D">
      <w:pPr>
        <w:jc w:val="both"/>
        <w:rPr>
          <w:lang w:val="en-US"/>
        </w:rPr>
      </w:pPr>
      <w:r w:rsidRPr="00F85F7D">
        <w:rPr>
          <w:lang w:val="en-US"/>
        </w:rPr>
        <w:t>The Paris Agreement was adopted at the Twenty-First Conference of the Parties (COP21) to the United Nations Framework Convention on Climate Change. Paragraph 84 of the COP decision adopting the Paris Agreement decided to establish “a Capacity-building Initiative for Transparency in order to build institutional and technical capacity, both pre-and post-2020”.</w:t>
      </w:r>
      <w:r>
        <w:rPr>
          <w:lang w:val="en-US"/>
        </w:rPr>
        <w:t xml:space="preserve"> </w:t>
      </w:r>
      <w:r w:rsidRPr="00F85F7D">
        <w:rPr>
          <w:lang w:val="en-US"/>
        </w:rPr>
        <w:t>The Capacity-building Initiative for Transparency (CBIT) “will support developing country Parties, upon request, in meeting enhanced transparency requirements as defined in Article 13 of the Agreement in a timely manner”.</w:t>
      </w:r>
      <w:r w:rsidR="000B5E65" w:rsidRPr="00FF04A8">
        <w:rPr>
          <w:lang w:val="en-US"/>
        </w:rPr>
        <w:t xml:space="preserve"> As established in paragraph 85 of said decis</w:t>
      </w:r>
      <w:bookmarkStart w:id="0" w:name="_GoBack"/>
      <w:bookmarkEnd w:id="0"/>
      <w:r w:rsidR="000B5E65" w:rsidRPr="00FF04A8">
        <w:rPr>
          <w:lang w:val="en-US"/>
        </w:rPr>
        <w:t>ion, the purpose of the Transparency Capacity Building Initiative (CBIT) is to:</w:t>
      </w:r>
    </w:p>
    <w:p w14:paraId="690B2F30" w14:textId="77777777" w:rsidR="000B5E65" w:rsidRPr="00FF04A8" w:rsidRDefault="000B5E65" w:rsidP="000B5E65">
      <w:pPr>
        <w:jc w:val="both"/>
        <w:rPr>
          <w:lang w:val="en-US"/>
        </w:rPr>
      </w:pPr>
      <w:r w:rsidRPr="00FF04A8">
        <w:rPr>
          <w:lang w:val="en-US"/>
        </w:rPr>
        <w:t>a) Strengthen national institutions for activities related to transparency, in accordance with national priorities;</w:t>
      </w:r>
    </w:p>
    <w:p w14:paraId="6D1E2864" w14:textId="77777777" w:rsidR="000B5E65" w:rsidRPr="00FF04A8" w:rsidRDefault="000B5E65" w:rsidP="000B5E65">
      <w:pPr>
        <w:jc w:val="both"/>
        <w:rPr>
          <w:lang w:val="en-US"/>
        </w:rPr>
      </w:pPr>
      <w:r w:rsidRPr="00FF04A8">
        <w:rPr>
          <w:lang w:val="en-US"/>
        </w:rPr>
        <w:t>b) Offer tools, training and assistance to comply with the provisions of Article 13 of the Agreement;</w:t>
      </w:r>
    </w:p>
    <w:p w14:paraId="39006A02" w14:textId="77777777" w:rsidR="000B5E65" w:rsidRPr="00FF04A8" w:rsidRDefault="000B5E65" w:rsidP="000B5E65">
      <w:pPr>
        <w:jc w:val="both"/>
        <w:rPr>
          <w:lang w:val="en-US"/>
        </w:rPr>
      </w:pPr>
      <w:r w:rsidRPr="00FF04A8">
        <w:rPr>
          <w:lang w:val="en-US"/>
        </w:rPr>
        <w:t>c) Help improve transparency over time;</w:t>
      </w:r>
    </w:p>
    <w:p w14:paraId="5FEF94EF" w14:textId="77777777" w:rsidR="000B5E65" w:rsidRPr="00FF04A8" w:rsidRDefault="000B5E65" w:rsidP="000B5E65">
      <w:pPr>
        <w:jc w:val="both"/>
        <w:rPr>
          <w:lang w:val="en-US"/>
        </w:rPr>
      </w:pPr>
      <w:r w:rsidRPr="00FF04A8">
        <w:rPr>
          <w:lang w:val="en-US"/>
        </w:rPr>
        <w:t>CBIT Chile began to be implemented in October 2018, and has represented a relevant contribution for the country in the management of climate change, through the generation of products that contribute to the fulfillment of international commitments, the strengthening of coordination and collaboration between various entities, and joint exchange and learning in Latin America and the Caribbean.</w:t>
      </w:r>
    </w:p>
    <w:p w14:paraId="52463E83" w14:textId="614A30A3" w:rsidR="00D9523D" w:rsidRPr="00FF04A8" w:rsidRDefault="000B5E65" w:rsidP="00FF04A8">
      <w:pPr>
        <w:jc w:val="both"/>
        <w:rPr>
          <w:lang w:val="en-US"/>
        </w:rPr>
      </w:pPr>
      <w:r w:rsidRPr="00FF04A8">
        <w:rPr>
          <w:lang w:val="en-US"/>
        </w:rPr>
        <w:t>In this context, CBIT Chile is preparing documentation to facilitate the development of capacities and analysis in some sectors, strengthening the path towards adaptation and mitigation of climate change.</w:t>
      </w:r>
    </w:p>
    <w:p w14:paraId="1484D12C" w14:textId="024586DE" w:rsidR="000E04FD" w:rsidRPr="00C05CB6" w:rsidRDefault="001C3105" w:rsidP="00CF7EBA">
      <w:pPr>
        <w:numPr>
          <w:ilvl w:val="0"/>
          <w:numId w:val="8"/>
        </w:numPr>
        <w:rPr>
          <w:b/>
          <w:bCs/>
          <w:u w:val="single"/>
          <w:lang w:val="en-US"/>
        </w:rPr>
      </w:pPr>
      <w:r w:rsidRPr="00C05CB6">
        <w:rPr>
          <w:b/>
          <w:bCs/>
          <w:u w:val="single"/>
          <w:lang w:val="en-US"/>
        </w:rPr>
        <w:t>Objectives</w:t>
      </w:r>
    </w:p>
    <w:p w14:paraId="2A36DD23" w14:textId="41E9B524" w:rsidR="001C3E16" w:rsidRPr="00C05CB6" w:rsidRDefault="001C3E16" w:rsidP="00BE15BD">
      <w:pPr>
        <w:jc w:val="both"/>
        <w:rPr>
          <w:lang w:val="en-US"/>
        </w:rPr>
      </w:pPr>
      <w:r w:rsidRPr="00C05CB6">
        <w:rPr>
          <w:lang w:val="en-US"/>
        </w:rPr>
        <w:t>The objective of the consultancy is to support agricultural decision-making for climate change adaptation and greenhouse gas (GHG) mitigation. To this end, objectives are divided in</w:t>
      </w:r>
      <w:r w:rsidR="00E51359">
        <w:rPr>
          <w:lang w:val="en-US"/>
        </w:rPr>
        <w:t>to</w:t>
      </w:r>
      <w:r w:rsidRPr="00C05CB6">
        <w:rPr>
          <w:lang w:val="en-US"/>
        </w:rPr>
        <w:t xml:space="preserve"> these areas</w:t>
      </w:r>
      <w:r w:rsidR="000C0554">
        <w:rPr>
          <w:lang w:val="en-US"/>
        </w:rPr>
        <w:t>.</w:t>
      </w:r>
    </w:p>
    <w:p w14:paraId="77FBE821" w14:textId="42489FA1" w:rsidR="003F2B9F" w:rsidRPr="00C05CB6" w:rsidRDefault="003F2B9F" w:rsidP="00C05CB6">
      <w:pPr>
        <w:rPr>
          <w:b/>
          <w:bCs/>
          <w:u w:val="single"/>
          <w:lang w:val="en-US"/>
        </w:rPr>
      </w:pPr>
      <w:r w:rsidRPr="00C05CB6">
        <w:rPr>
          <w:b/>
          <w:bCs/>
          <w:u w:val="single"/>
          <w:lang w:val="en-US"/>
        </w:rPr>
        <w:t>Adapta</w:t>
      </w:r>
      <w:r w:rsidR="00EE00F1" w:rsidRPr="00C05CB6">
        <w:rPr>
          <w:b/>
          <w:bCs/>
          <w:u w:val="single"/>
          <w:lang w:val="en-US"/>
        </w:rPr>
        <w:t>tion</w:t>
      </w:r>
    </w:p>
    <w:p w14:paraId="04408A3B" w14:textId="786442ED" w:rsidR="009D6F72" w:rsidRPr="00C05CB6" w:rsidRDefault="000A7150" w:rsidP="009D6F72">
      <w:pPr>
        <w:jc w:val="both"/>
        <w:rPr>
          <w:lang w:val="en-US"/>
        </w:rPr>
      </w:pPr>
      <w:r>
        <w:rPr>
          <w:lang w:val="en-US"/>
        </w:rPr>
        <w:t xml:space="preserve">Develop a report that </w:t>
      </w:r>
      <w:r w:rsidR="009D6F72" w:rsidRPr="00C05CB6">
        <w:rPr>
          <w:lang w:val="en-US"/>
        </w:rPr>
        <w:t>should take an in-depth look at agricultural risk assessments, based on impact chains associated with the IPCC's climate risk definition (2014) at the international level. In this context, a review of the construction of sensitivity, adaptability and resilience rates will be especially relevant.</w:t>
      </w:r>
    </w:p>
    <w:p w14:paraId="3B03A3EB" w14:textId="77777777" w:rsidR="009D6F72" w:rsidRDefault="009D6F72" w:rsidP="009D6F72">
      <w:pPr>
        <w:jc w:val="both"/>
        <w:rPr>
          <w:b/>
          <w:bCs/>
          <w:lang w:val="en-US"/>
        </w:rPr>
      </w:pPr>
      <w:r>
        <w:rPr>
          <w:lang w:val="en-US"/>
        </w:rPr>
        <w:t>T</w:t>
      </w:r>
      <w:r w:rsidRPr="00C05CB6">
        <w:rPr>
          <w:lang w:val="en-US"/>
        </w:rPr>
        <w:t xml:space="preserve">he consultant should support work on climate change adaptation metrics and indicators, based on the development of </w:t>
      </w:r>
      <w:r>
        <w:rPr>
          <w:lang w:val="en-US"/>
        </w:rPr>
        <w:t xml:space="preserve">subnational, </w:t>
      </w:r>
      <w:r w:rsidRPr="00C05CB6">
        <w:rPr>
          <w:lang w:val="en-US"/>
        </w:rPr>
        <w:t>national, and international indicators.</w:t>
      </w:r>
      <w:r>
        <w:rPr>
          <w:lang w:val="en-US"/>
        </w:rPr>
        <w:t xml:space="preserve"> </w:t>
      </w:r>
      <w:r w:rsidRPr="0000095A">
        <w:rPr>
          <w:lang w:val="en-US"/>
        </w:rPr>
        <w:t>The work will be developed based on relevant case studies, with a detailed level of information that will allow for a review of monitoring and evaluation processes in the agricultural sector at the national level.</w:t>
      </w:r>
    </w:p>
    <w:p w14:paraId="635201EE" w14:textId="63D2194A" w:rsidR="00EE00F1" w:rsidRPr="00C05CB6" w:rsidRDefault="00EE00F1" w:rsidP="00232A0D">
      <w:pPr>
        <w:rPr>
          <w:b/>
          <w:bCs/>
          <w:u w:val="single"/>
          <w:lang w:val="en-US"/>
        </w:rPr>
      </w:pPr>
      <w:r w:rsidRPr="00C05CB6">
        <w:rPr>
          <w:b/>
          <w:u w:val="single"/>
          <w:lang w:val="en-US"/>
        </w:rPr>
        <w:t>Mitigation</w:t>
      </w:r>
    </w:p>
    <w:p w14:paraId="1B81E068" w14:textId="4A8AAA9E" w:rsidR="00E51359" w:rsidRDefault="000C2128" w:rsidP="00370E39">
      <w:pPr>
        <w:jc w:val="both"/>
        <w:rPr>
          <w:lang w:val="en-US"/>
        </w:rPr>
      </w:pPr>
      <w:r w:rsidRPr="00C05CB6">
        <w:rPr>
          <w:lang w:val="en-US"/>
        </w:rPr>
        <w:t xml:space="preserve">Develop a </w:t>
      </w:r>
      <w:r w:rsidR="000A7150">
        <w:rPr>
          <w:lang w:val="en-US"/>
        </w:rPr>
        <w:t xml:space="preserve">report which should function as a </w:t>
      </w:r>
      <w:r w:rsidRPr="00C05CB6">
        <w:rPr>
          <w:lang w:val="en-US"/>
        </w:rPr>
        <w:t>decision support document on greenhouse gas mitigation (GHG)</w:t>
      </w:r>
      <w:r w:rsidR="0024168F">
        <w:rPr>
          <w:lang w:val="en-US"/>
        </w:rPr>
        <w:t xml:space="preserve"> measures </w:t>
      </w:r>
      <w:r w:rsidR="000A7150">
        <w:rPr>
          <w:lang w:val="en-US"/>
        </w:rPr>
        <w:t xml:space="preserve">included in NDCs in the Americas, </w:t>
      </w:r>
      <w:r w:rsidR="000A7150">
        <w:rPr>
          <w:lang w:val="en-US"/>
        </w:rPr>
        <w:lastRenderedPageBreak/>
        <w:t xml:space="preserve">Europe, and Asia </w:t>
      </w:r>
      <w:r w:rsidR="0024168F">
        <w:rPr>
          <w:lang w:val="en-US"/>
        </w:rPr>
        <w:t>within the agricultural sector</w:t>
      </w:r>
      <w:r w:rsidRPr="00C05CB6">
        <w:rPr>
          <w:lang w:val="en-US"/>
        </w:rPr>
        <w:t xml:space="preserve">, based on the collection of information from national and international </w:t>
      </w:r>
      <w:r w:rsidR="00E51359">
        <w:rPr>
          <w:lang w:val="en-US"/>
        </w:rPr>
        <w:t>sources</w:t>
      </w:r>
      <w:r w:rsidRPr="00C05CB6">
        <w:rPr>
          <w:lang w:val="en-US"/>
        </w:rPr>
        <w:t xml:space="preserve">. In addition, </w:t>
      </w:r>
      <w:r w:rsidR="00E51359">
        <w:rPr>
          <w:lang w:val="en-US"/>
        </w:rPr>
        <w:t>critically analyze the GHG mitigation measures within the agricultural sector specified in Chile's updated NDC, proposing viable and feasible alternatives which could be considered.</w:t>
      </w:r>
    </w:p>
    <w:p w14:paraId="40E4E01E" w14:textId="5D209DDB" w:rsidR="000E6E6F" w:rsidRDefault="000C2128" w:rsidP="00FE0901">
      <w:pPr>
        <w:jc w:val="both"/>
        <w:rPr>
          <w:lang w:val="en-US"/>
        </w:rPr>
      </w:pPr>
      <w:r w:rsidRPr="00C05CB6">
        <w:rPr>
          <w:lang w:val="en-US"/>
        </w:rPr>
        <w:t xml:space="preserve">The document to be developed should present an in-depth look at the solutions found by other </w:t>
      </w:r>
      <w:proofErr w:type="gramStart"/>
      <w:r w:rsidRPr="00C05CB6">
        <w:rPr>
          <w:lang w:val="en-US"/>
        </w:rPr>
        <w:t>countries</w:t>
      </w:r>
      <w:proofErr w:type="gramEnd"/>
      <w:r w:rsidRPr="00C05CB6">
        <w:rPr>
          <w:lang w:val="en-US"/>
        </w:rPr>
        <w:t xml:space="preserve"> and organizations to promote GHG mitigation in the sector and to move towards a sustainable relationship of the sector with society, </w:t>
      </w:r>
      <w:r w:rsidR="000E6E6F">
        <w:rPr>
          <w:lang w:val="en-US"/>
        </w:rPr>
        <w:t xml:space="preserve">taking into account current trends within production, consumption and regulation thereof. </w:t>
      </w:r>
    </w:p>
    <w:p w14:paraId="5C0E3AC5" w14:textId="5D9CF0D5" w:rsidR="008C7B9A" w:rsidRPr="00C05CB6" w:rsidRDefault="001C3105" w:rsidP="00C05CB6">
      <w:pPr>
        <w:numPr>
          <w:ilvl w:val="0"/>
          <w:numId w:val="8"/>
        </w:numPr>
        <w:rPr>
          <w:b/>
          <w:bCs/>
          <w:u w:val="single"/>
          <w:lang w:val="en-US"/>
        </w:rPr>
      </w:pPr>
      <w:r w:rsidRPr="00C05CB6">
        <w:rPr>
          <w:b/>
          <w:bCs/>
          <w:u w:val="single"/>
          <w:lang w:val="en-US"/>
        </w:rPr>
        <w:t xml:space="preserve">Scope </w:t>
      </w:r>
    </w:p>
    <w:p w14:paraId="34A1016F" w14:textId="148D73CB" w:rsidR="00961040" w:rsidRPr="00C05CB6" w:rsidRDefault="00EE00F1" w:rsidP="00C05CB6">
      <w:pPr>
        <w:rPr>
          <w:b/>
          <w:bCs/>
          <w:u w:val="single"/>
          <w:lang w:val="en-US"/>
        </w:rPr>
      </w:pPr>
      <w:r w:rsidRPr="00C05CB6">
        <w:rPr>
          <w:b/>
          <w:u w:val="single"/>
          <w:lang w:val="en-US"/>
        </w:rPr>
        <w:t>Adaptation</w:t>
      </w:r>
    </w:p>
    <w:p w14:paraId="615005C0" w14:textId="5CF061B7" w:rsidR="009D6F72" w:rsidRPr="002F4C73" w:rsidRDefault="009D6F72" w:rsidP="009D6F72">
      <w:pPr>
        <w:jc w:val="both"/>
        <w:rPr>
          <w:lang w:val="en-US"/>
        </w:rPr>
      </w:pPr>
      <w:r w:rsidRPr="002F4C73">
        <w:rPr>
          <w:lang w:val="en-US"/>
        </w:rPr>
        <w:t>The consultancy focuses on climate risk and vulnerability a</w:t>
      </w:r>
      <w:r>
        <w:rPr>
          <w:lang w:val="en-US"/>
        </w:rPr>
        <w:t>ssessment</w:t>
      </w:r>
      <w:r w:rsidRPr="002F4C73">
        <w:rPr>
          <w:lang w:val="en-US"/>
        </w:rPr>
        <w:t xml:space="preserve"> methodologies according to GIZ guidance (2015, 2018) for the agricultural sector. The work will review the development of assessments that have </w:t>
      </w:r>
      <w:r w:rsidR="000E6E6F">
        <w:rPr>
          <w:lang w:val="en-US"/>
        </w:rPr>
        <w:t>studied</w:t>
      </w:r>
      <w:r w:rsidR="000E6E6F" w:rsidRPr="000E6E6F">
        <w:rPr>
          <w:rStyle w:val="CommentReference"/>
          <w:lang w:val="en-GB"/>
        </w:rPr>
        <w:t xml:space="preserve"> </w:t>
      </w:r>
      <w:r w:rsidR="000E6E6F">
        <w:rPr>
          <w:lang w:val="en-US"/>
        </w:rPr>
        <w:t>im</w:t>
      </w:r>
      <w:r w:rsidRPr="002F4C73">
        <w:rPr>
          <w:lang w:val="en-US"/>
        </w:rPr>
        <w:t xml:space="preserve">pact chains with focus on climate scenarios associated with lower future water availability among other climate parameters that may affect crop yields. It will analyze how these methodologies have been incorporated in monitoring the assessment of adaptation progress at sub-national and national levels. For this purpose, 3 case studies relevant </w:t>
      </w:r>
      <w:r>
        <w:rPr>
          <w:lang w:val="en-US"/>
        </w:rPr>
        <w:t>for</w:t>
      </w:r>
      <w:r w:rsidRPr="002F4C73">
        <w:rPr>
          <w:lang w:val="en-US"/>
        </w:rPr>
        <w:t xml:space="preserve"> Chile with an adequate level of information will be defined</w:t>
      </w:r>
      <w:r>
        <w:rPr>
          <w:lang w:val="en-US"/>
        </w:rPr>
        <w:t xml:space="preserve"> in agreement</w:t>
      </w:r>
      <w:r w:rsidRPr="002F4C73">
        <w:rPr>
          <w:lang w:val="en-US"/>
        </w:rPr>
        <w:t xml:space="preserve"> between parties according to the consultant's </w:t>
      </w:r>
      <w:r>
        <w:rPr>
          <w:lang w:val="en-US"/>
        </w:rPr>
        <w:t xml:space="preserve">initial </w:t>
      </w:r>
      <w:r w:rsidRPr="002F4C73">
        <w:rPr>
          <w:lang w:val="en-US"/>
        </w:rPr>
        <w:t>proposal. At a specific level it is expected:</w:t>
      </w:r>
    </w:p>
    <w:p w14:paraId="55F973E3" w14:textId="5A67EFDC" w:rsidR="009D6F72" w:rsidRPr="00D9523D" w:rsidRDefault="009D6F72" w:rsidP="00D84501">
      <w:pPr>
        <w:pStyle w:val="ListParagraph"/>
        <w:numPr>
          <w:ilvl w:val="0"/>
          <w:numId w:val="40"/>
        </w:numPr>
        <w:jc w:val="both"/>
        <w:rPr>
          <w:lang w:val="en-US"/>
        </w:rPr>
      </w:pPr>
      <w:r w:rsidRPr="009C0461">
        <w:rPr>
          <w:lang w:val="en-US"/>
        </w:rPr>
        <w:t xml:space="preserve">The incorporation of environmental sensitivity, social sensitivity and adaptive capacity indicators within the impact chain methodologies will be </w:t>
      </w:r>
      <w:r w:rsidR="00186BA1">
        <w:rPr>
          <w:lang w:val="en-US"/>
        </w:rPr>
        <w:t>developed</w:t>
      </w:r>
      <w:r w:rsidRPr="009C0461">
        <w:rPr>
          <w:lang w:val="en-US"/>
        </w:rPr>
        <w:t>. The work should focus on the review of relevant cases where the following vulnerability indicators</w:t>
      </w:r>
      <w:r w:rsidRPr="00D9523D">
        <w:rPr>
          <w:lang w:val="en-US"/>
        </w:rPr>
        <w:t>: irrigation and infrastructure technologies</w:t>
      </w:r>
      <w:r w:rsidRPr="009C0461">
        <w:rPr>
          <w:lang w:val="en-US"/>
        </w:rPr>
        <w:t>; Nature-based Solutions (</w:t>
      </w:r>
      <w:proofErr w:type="spellStart"/>
      <w:r w:rsidRPr="009C0461">
        <w:rPr>
          <w:lang w:val="en-US"/>
        </w:rPr>
        <w:t>NbS</w:t>
      </w:r>
      <w:proofErr w:type="spellEnd"/>
      <w:r w:rsidRPr="009C0461">
        <w:rPr>
          <w:lang w:val="en-US"/>
        </w:rPr>
        <w:t>)</w:t>
      </w:r>
      <w:r>
        <w:rPr>
          <w:rStyle w:val="FootnoteReference"/>
          <w:lang w:val="en-US"/>
        </w:rPr>
        <w:footnoteReference w:id="1"/>
      </w:r>
      <w:r w:rsidRPr="009C0461">
        <w:rPr>
          <w:lang w:val="en-US"/>
        </w:rPr>
        <w:t>, gray infrastructure (at basin scale) and aquifer recharge. A detailed description of the methodologies for calculating these indicators within the impact chains is expected. The climate scenarios and hazards considered will be characterized to contextualize the analysis.</w:t>
      </w:r>
    </w:p>
    <w:p w14:paraId="5DDF9CD6" w14:textId="051B6946" w:rsidR="009D6F72" w:rsidRPr="009C0461" w:rsidRDefault="009D6F72" w:rsidP="00D84501">
      <w:pPr>
        <w:pStyle w:val="ListParagraph"/>
        <w:numPr>
          <w:ilvl w:val="0"/>
          <w:numId w:val="40"/>
        </w:numPr>
        <w:jc w:val="both"/>
        <w:rPr>
          <w:lang w:val="en-US"/>
        </w:rPr>
      </w:pPr>
      <w:r w:rsidRPr="00D9523D">
        <w:rPr>
          <w:lang w:val="en-US"/>
        </w:rPr>
        <w:t>From a monitoring and evaluation perspective, it will detail how the cases use climate risk and vulnerability calculations in national and subnational decision-making processes. The consultant should detail how such assessments are articulated in the fra</w:t>
      </w:r>
      <w:r w:rsidRPr="009C0461">
        <w:rPr>
          <w:lang w:val="en-US"/>
        </w:rPr>
        <w:t>mework of national policies-instruments and international reporting mechanisms of National Determined Contributions (NDC).</w:t>
      </w:r>
    </w:p>
    <w:p w14:paraId="64796014" w14:textId="1C939B98" w:rsidR="00EE00F1" w:rsidRPr="00C05CB6" w:rsidRDefault="00EE00F1" w:rsidP="00BD607F">
      <w:pPr>
        <w:rPr>
          <w:b/>
          <w:bCs/>
          <w:u w:val="single"/>
          <w:lang w:val="en-US"/>
        </w:rPr>
      </w:pPr>
      <w:r w:rsidRPr="00C05CB6">
        <w:rPr>
          <w:b/>
          <w:u w:val="single"/>
          <w:lang w:val="en-US"/>
        </w:rPr>
        <w:t>Mitigation</w:t>
      </w:r>
    </w:p>
    <w:p w14:paraId="09646EE1" w14:textId="6C3E70A2" w:rsidR="001C3105" w:rsidRPr="00C05CB6" w:rsidRDefault="001C3105" w:rsidP="00544B2C">
      <w:pPr>
        <w:jc w:val="both"/>
        <w:rPr>
          <w:lang w:val="en-US"/>
        </w:rPr>
      </w:pPr>
      <w:r w:rsidRPr="00C05CB6">
        <w:rPr>
          <w:lang w:val="en-US"/>
        </w:rPr>
        <w:t>The consultant should</w:t>
      </w:r>
      <w:r w:rsidR="00120DBF">
        <w:rPr>
          <w:lang w:val="en-US"/>
        </w:rPr>
        <w:t xml:space="preserve"> identify and describe</w:t>
      </w:r>
      <w:r w:rsidRPr="00C05CB6">
        <w:rPr>
          <w:lang w:val="en-US"/>
        </w:rPr>
        <w:t xml:space="preserve"> different </w:t>
      </w:r>
      <w:r w:rsidR="00120DBF">
        <w:rPr>
          <w:lang w:val="en-US"/>
        </w:rPr>
        <w:t xml:space="preserve">interventions aimed to achieve </w:t>
      </w:r>
      <w:r w:rsidRPr="00C05CB6">
        <w:rPr>
          <w:lang w:val="en-US"/>
        </w:rPr>
        <w:t>greenhouse gas emission</w:t>
      </w:r>
      <w:r w:rsidR="00120DBF">
        <w:rPr>
          <w:lang w:val="en-US"/>
        </w:rPr>
        <w:t xml:space="preserve"> reduction</w:t>
      </w:r>
      <w:r w:rsidRPr="00C05CB6">
        <w:rPr>
          <w:lang w:val="en-US"/>
        </w:rPr>
        <w:t xml:space="preserve"> from the agricultural sector</w:t>
      </w:r>
      <w:r w:rsidR="00120DBF">
        <w:rPr>
          <w:lang w:val="en-US"/>
        </w:rPr>
        <w:t>. The</w:t>
      </w:r>
      <w:r w:rsidR="0024168F">
        <w:rPr>
          <w:lang w:val="en-US"/>
        </w:rPr>
        <w:t xml:space="preserve"> interventions can be</w:t>
      </w:r>
      <w:r w:rsidRPr="00C05CB6">
        <w:rPr>
          <w:lang w:val="en-US"/>
        </w:rPr>
        <w:t xml:space="preserve"> public policies, international plans, strategies, or commitments. </w:t>
      </w:r>
      <w:r w:rsidR="00DE2AD7" w:rsidRPr="00DE2AD7">
        <w:rPr>
          <w:lang w:val="en-US"/>
        </w:rPr>
        <w:t>In addition, the consultant should develop a comprehensive analysis of NDCs that explicitly consider actions in the agricultural sector, taking into account at least NDCs in America, Europe and Asia</w:t>
      </w:r>
      <w:r w:rsidRPr="00C05CB6">
        <w:rPr>
          <w:lang w:val="en-US"/>
        </w:rPr>
        <w:t xml:space="preserve">. Plans or strategies that consider actions for the sector in relevant countries should be </w:t>
      </w:r>
      <w:r w:rsidR="00120DBF" w:rsidRPr="00C05CB6">
        <w:rPr>
          <w:lang w:val="en-US"/>
        </w:rPr>
        <w:t>analyzed</w:t>
      </w:r>
      <w:r w:rsidRPr="00C05CB6">
        <w:rPr>
          <w:lang w:val="en-US"/>
        </w:rPr>
        <w:t xml:space="preserve"> and public policy exploration and analysis carried out for the same purpose. </w:t>
      </w:r>
      <w:r w:rsidR="00DE2AD7" w:rsidRPr="00DE2AD7">
        <w:rPr>
          <w:lang w:val="en-US"/>
        </w:rPr>
        <w:t xml:space="preserve">This should consider both actions aimed at the productive sector and policies that aim at </w:t>
      </w:r>
      <w:proofErr w:type="spellStart"/>
      <w:r w:rsidR="00DE2AD7" w:rsidRPr="00DE2AD7">
        <w:rPr>
          <w:lang w:val="en-US"/>
        </w:rPr>
        <w:t>behaviour</w:t>
      </w:r>
      <w:proofErr w:type="spellEnd"/>
      <w:r w:rsidR="00DE2AD7" w:rsidRPr="00DE2AD7">
        <w:rPr>
          <w:lang w:val="en-US"/>
        </w:rPr>
        <w:t xml:space="preserve"> changes, affecting the demand for agricultural products.</w:t>
      </w:r>
    </w:p>
    <w:p w14:paraId="15D7A1A4" w14:textId="77777777" w:rsidR="001C3105" w:rsidRPr="00C05CB6" w:rsidRDefault="001C3105" w:rsidP="00497B36">
      <w:pPr>
        <w:jc w:val="both"/>
        <w:rPr>
          <w:lang w:val="en-US"/>
        </w:rPr>
      </w:pPr>
      <w:r w:rsidRPr="00C05CB6">
        <w:rPr>
          <w:lang w:val="en-US"/>
        </w:rPr>
        <w:lastRenderedPageBreak/>
        <w:t xml:space="preserve">The consultant should develop a critical analysis, applied to the Chilean case, of the mitigation actions that are promoted in the world, and of the policies that would allow such mitigation actions to be implemented </w:t>
      </w:r>
    </w:p>
    <w:p w14:paraId="59650D71" w14:textId="2C3B8CC7" w:rsidR="001C3105" w:rsidRPr="00C05CB6" w:rsidRDefault="001C3105" w:rsidP="00607A91">
      <w:pPr>
        <w:jc w:val="both"/>
        <w:rPr>
          <w:lang w:val="en-US"/>
        </w:rPr>
      </w:pPr>
      <w:r w:rsidRPr="00C05CB6">
        <w:rPr>
          <w:lang w:val="en-US"/>
        </w:rPr>
        <w:t>The activities to be carried out by the consultant are:</w:t>
      </w:r>
    </w:p>
    <w:p w14:paraId="3C655830" w14:textId="2527C387" w:rsidR="001C3105" w:rsidRPr="009E5C8B" w:rsidRDefault="001C3105" w:rsidP="00C05CB6">
      <w:pPr>
        <w:pStyle w:val="ListParagraph"/>
        <w:numPr>
          <w:ilvl w:val="0"/>
          <w:numId w:val="11"/>
        </w:numPr>
        <w:jc w:val="both"/>
        <w:rPr>
          <w:lang w:val="en-US"/>
        </w:rPr>
      </w:pPr>
      <w:r w:rsidRPr="00C05CB6">
        <w:rPr>
          <w:lang w:val="en-US"/>
        </w:rPr>
        <w:t>Documentation and analysis of the agricultural sector in international NDCs considering as a starting point the documents develop</w:t>
      </w:r>
      <w:r w:rsidR="00C1257E">
        <w:rPr>
          <w:lang w:val="en-US"/>
        </w:rPr>
        <w:t>ed</w:t>
      </w:r>
      <w:r w:rsidRPr="00C05CB6">
        <w:rPr>
          <w:lang w:val="en-US"/>
        </w:rPr>
        <w:t xml:space="preserve"> by FAO in America, Europe and Asia, and then delving into NDCs containing content relevant to the development of the objectives of this consultancy.</w:t>
      </w:r>
    </w:p>
    <w:p w14:paraId="1F655BEF" w14:textId="2C0E1993" w:rsidR="001C3105" w:rsidRPr="00961A0F" w:rsidRDefault="001C3105" w:rsidP="00C05CB6">
      <w:pPr>
        <w:pStyle w:val="ListParagraph"/>
        <w:numPr>
          <w:ilvl w:val="0"/>
          <w:numId w:val="11"/>
        </w:numPr>
        <w:jc w:val="both"/>
        <w:rPr>
          <w:lang w:val="en-US"/>
        </w:rPr>
      </w:pPr>
      <w:r w:rsidRPr="00C05CB6">
        <w:rPr>
          <w:lang w:val="en-US"/>
        </w:rPr>
        <w:t>Documentation and Analysis of public policies to reduce GHG emissions in the Agricultural sector considering at least the analysis of the</w:t>
      </w:r>
      <w:r w:rsidR="000A7150">
        <w:rPr>
          <w:lang w:val="en-US"/>
        </w:rPr>
        <w:t xml:space="preserve"> European Environmental Agency (</w:t>
      </w:r>
      <w:r w:rsidRPr="00C05CB6">
        <w:rPr>
          <w:lang w:val="en-US"/>
        </w:rPr>
        <w:t>EEA</w:t>
      </w:r>
      <w:r w:rsidR="000A7150">
        <w:rPr>
          <w:lang w:val="en-US"/>
        </w:rPr>
        <w:t>)</w:t>
      </w:r>
      <w:r w:rsidRPr="00C05CB6">
        <w:rPr>
          <w:lang w:val="en-US"/>
        </w:rPr>
        <w:t xml:space="preserve"> database and public policies of relevant Latin American countries.</w:t>
      </w:r>
    </w:p>
    <w:p w14:paraId="084ADC43" w14:textId="222F2783" w:rsidR="001C3105" w:rsidRPr="00906624" w:rsidRDefault="001C3105" w:rsidP="00C05CB6">
      <w:pPr>
        <w:pStyle w:val="ListParagraph"/>
        <w:numPr>
          <w:ilvl w:val="0"/>
          <w:numId w:val="11"/>
        </w:numPr>
        <w:jc w:val="both"/>
        <w:rPr>
          <w:lang w:val="en-US"/>
        </w:rPr>
      </w:pPr>
      <w:r w:rsidRPr="00C05CB6">
        <w:rPr>
          <w:lang w:val="en-US"/>
        </w:rPr>
        <w:t xml:space="preserve">Documentation and Analysis of disruptive, innovative technologies or </w:t>
      </w:r>
      <w:r w:rsidR="000E6E6F">
        <w:rPr>
          <w:lang w:val="en-US"/>
        </w:rPr>
        <w:t>relevant</w:t>
      </w:r>
      <w:r w:rsidRPr="00C05CB6">
        <w:rPr>
          <w:lang w:val="en-US"/>
        </w:rPr>
        <w:t xml:space="preserve"> trends in the sector, both from supply and demand</w:t>
      </w:r>
      <w:r w:rsidR="00C1257E">
        <w:rPr>
          <w:lang w:val="en-US"/>
        </w:rPr>
        <w:t xml:space="preserve"> perspective</w:t>
      </w:r>
      <w:r w:rsidRPr="00C05CB6">
        <w:rPr>
          <w:lang w:val="en-US"/>
        </w:rPr>
        <w:t>.</w:t>
      </w:r>
    </w:p>
    <w:p w14:paraId="1243394D" w14:textId="381402AA" w:rsidR="001C3105" w:rsidRPr="00F12503" w:rsidRDefault="00C1257E" w:rsidP="00C05CB6">
      <w:pPr>
        <w:pStyle w:val="ListParagraph"/>
        <w:numPr>
          <w:ilvl w:val="0"/>
          <w:numId w:val="11"/>
        </w:numPr>
        <w:jc w:val="both"/>
        <w:rPr>
          <w:lang w:val="en-US"/>
        </w:rPr>
      </w:pPr>
      <w:r>
        <w:rPr>
          <w:lang w:val="en-US"/>
        </w:rPr>
        <w:t xml:space="preserve">Recommendations of how to promote a prioritized list of </w:t>
      </w:r>
      <w:r w:rsidR="001C3105" w:rsidRPr="00C05CB6">
        <w:rPr>
          <w:lang w:val="en-US"/>
        </w:rPr>
        <w:t>disruptive</w:t>
      </w:r>
      <w:r>
        <w:rPr>
          <w:lang w:val="en-US"/>
        </w:rPr>
        <w:t xml:space="preserve"> and/</w:t>
      </w:r>
      <w:r w:rsidRPr="00C05CB6">
        <w:rPr>
          <w:lang w:val="en-US"/>
        </w:rPr>
        <w:t>or</w:t>
      </w:r>
      <w:r>
        <w:rPr>
          <w:lang w:val="en-US"/>
        </w:rPr>
        <w:t xml:space="preserve"> </w:t>
      </w:r>
      <w:r w:rsidR="001C3105" w:rsidRPr="00C05CB6">
        <w:rPr>
          <w:lang w:val="en-US"/>
        </w:rPr>
        <w:t xml:space="preserve">innovative </w:t>
      </w:r>
      <w:r>
        <w:rPr>
          <w:lang w:val="en-US"/>
        </w:rPr>
        <w:t>technologies</w:t>
      </w:r>
      <w:r w:rsidR="001C3105" w:rsidRPr="00C05CB6">
        <w:rPr>
          <w:lang w:val="en-US"/>
        </w:rPr>
        <w:t>.</w:t>
      </w:r>
    </w:p>
    <w:p w14:paraId="462BDC04" w14:textId="533B1EA1" w:rsidR="001C3105" w:rsidRPr="007B6D75" w:rsidRDefault="001C3105" w:rsidP="00C05CB6">
      <w:pPr>
        <w:pStyle w:val="ListParagraph"/>
        <w:numPr>
          <w:ilvl w:val="0"/>
          <w:numId w:val="11"/>
        </w:numPr>
        <w:jc w:val="both"/>
        <w:rPr>
          <w:lang w:val="en-US"/>
        </w:rPr>
      </w:pPr>
      <w:r w:rsidRPr="00C05CB6">
        <w:rPr>
          <w:lang w:val="en-US"/>
        </w:rPr>
        <w:t xml:space="preserve">Analysis and development proposals of the actions considered in the </w:t>
      </w:r>
      <w:r w:rsidR="00C1257E">
        <w:rPr>
          <w:lang w:val="en-US"/>
        </w:rPr>
        <w:t xml:space="preserve">updated Chilean </w:t>
      </w:r>
      <w:r w:rsidRPr="00C05CB6">
        <w:rPr>
          <w:lang w:val="en-US"/>
        </w:rPr>
        <w:t xml:space="preserve">NDC. Propose a roadmap for the implementation of these measures considering the social, organizational, technical, </w:t>
      </w:r>
      <w:r w:rsidR="00C1257E">
        <w:rPr>
          <w:lang w:val="en-US"/>
        </w:rPr>
        <w:t xml:space="preserve">financial, </w:t>
      </w:r>
      <w:r w:rsidRPr="00C05CB6">
        <w:rPr>
          <w:lang w:val="en-US"/>
        </w:rPr>
        <w:t>and regulatory aspects.</w:t>
      </w:r>
    </w:p>
    <w:p w14:paraId="37EE85E8" w14:textId="77777777" w:rsidR="001C3105" w:rsidRPr="002D2F45" w:rsidRDefault="001C3105" w:rsidP="00C05CB6">
      <w:pPr>
        <w:pStyle w:val="ListParagraph"/>
        <w:numPr>
          <w:ilvl w:val="0"/>
          <w:numId w:val="36"/>
        </w:numPr>
        <w:jc w:val="both"/>
        <w:rPr>
          <w:lang w:val="en-US"/>
        </w:rPr>
      </w:pPr>
      <w:r w:rsidRPr="002D2F45">
        <w:rPr>
          <w:lang w:val="en"/>
        </w:rPr>
        <w:t xml:space="preserve">Purines Porcine </w:t>
      </w:r>
      <w:proofErr w:type="spellStart"/>
      <w:r w:rsidRPr="002D2F45">
        <w:rPr>
          <w:lang w:val="en"/>
        </w:rPr>
        <w:t>Biodigesters</w:t>
      </w:r>
      <w:proofErr w:type="spellEnd"/>
    </w:p>
    <w:p w14:paraId="0B5B2C6D" w14:textId="77777777" w:rsidR="001C3105" w:rsidRPr="000E6A16" w:rsidRDefault="001C3105" w:rsidP="00C05CB6">
      <w:pPr>
        <w:pStyle w:val="ListParagraph"/>
        <w:numPr>
          <w:ilvl w:val="0"/>
          <w:numId w:val="36"/>
        </w:numPr>
        <w:jc w:val="both"/>
        <w:rPr>
          <w:lang w:val="en-US"/>
        </w:rPr>
      </w:pPr>
      <w:r w:rsidRPr="000E6A16">
        <w:rPr>
          <w:lang w:val="en"/>
        </w:rPr>
        <w:t>Technical assistance to the use of fertilizers</w:t>
      </w:r>
    </w:p>
    <w:p w14:paraId="3063A93F" w14:textId="2E4E3411" w:rsidR="001C3105" w:rsidRPr="00447256" w:rsidRDefault="001C3105" w:rsidP="00C05CB6">
      <w:pPr>
        <w:pStyle w:val="ListParagraph"/>
        <w:numPr>
          <w:ilvl w:val="0"/>
          <w:numId w:val="11"/>
        </w:numPr>
        <w:jc w:val="both"/>
        <w:rPr>
          <w:lang w:val="en-US"/>
        </w:rPr>
      </w:pPr>
      <w:r w:rsidRPr="00C05CB6">
        <w:rPr>
          <w:lang w:val="en-US"/>
        </w:rPr>
        <w:t>Analysis and proposals for development of actions not considered in the NDC, raised from national and international evidence, applicable to the country.</w:t>
      </w:r>
    </w:p>
    <w:p w14:paraId="0608F022" w14:textId="03ACCD4C" w:rsidR="001C3105" w:rsidRPr="009E7AB8" w:rsidRDefault="001C3105" w:rsidP="009E7AB8">
      <w:pPr>
        <w:jc w:val="both"/>
        <w:rPr>
          <w:lang w:val="en-US"/>
        </w:rPr>
      </w:pPr>
      <w:r w:rsidRPr="009E7AB8">
        <w:rPr>
          <w:lang w:val="en"/>
        </w:rPr>
        <w:t>If</w:t>
      </w:r>
      <w:r>
        <w:rPr>
          <w:lang w:val="en"/>
        </w:rPr>
        <w:t xml:space="preserve"> necessary, </w:t>
      </w:r>
      <w:r w:rsidRPr="009E7AB8">
        <w:rPr>
          <w:lang w:val="en"/>
        </w:rPr>
        <w:t>the consultant must submit an additional literature that will be consulted to satisfy any of the consulting activities.</w:t>
      </w:r>
    </w:p>
    <w:p w14:paraId="309F3F27" w14:textId="012D3F62" w:rsidR="00EE00F1" w:rsidRPr="00C05CB6" w:rsidRDefault="00EE00F1" w:rsidP="00C05CB6">
      <w:pPr>
        <w:numPr>
          <w:ilvl w:val="0"/>
          <w:numId w:val="8"/>
        </w:numPr>
        <w:rPr>
          <w:b/>
          <w:bCs/>
          <w:u w:val="single"/>
          <w:lang w:val="en-US"/>
        </w:rPr>
      </w:pPr>
      <w:r w:rsidRPr="00C05CB6">
        <w:rPr>
          <w:b/>
          <w:bCs/>
          <w:u w:val="single"/>
          <w:lang w:val="en-US"/>
        </w:rPr>
        <w:t>Deliverables</w:t>
      </w:r>
    </w:p>
    <w:p w14:paraId="6ECB3DC0" w14:textId="77777777" w:rsidR="00845282" w:rsidRPr="00C05CB6" w:rsidRDefault="00845282" w:rsidP="00C05CB6">
      <w:pPr>
        <w:suppressAutoHyphens/>
        <w:spacing w:after="0" w:line="240" w:lineRule="auto"/>
        <w:jc w:val="both"/>
        <w:rPr>
          <w:rFonts w:cstheme="minorHAnsi"/>
          <w:b/>
          <w:bCs/>
          <w:sz w:val="24"/>
          <w:szCs w:val="24"/>
          <w:lang w:val="en-US"/>
        </w:rPr>
      </w:pPr>
    </w:p>
    <w:p w14:paraId="712023AA" w14:textId="253C5109" w:rsidR="00EE00F1" w:rsidRPr="00C05CB6" w:rsidRDefault="00EE00F1" w:rsidP="00C05CB6">
      <w:pPr>
        <w:numPr>
          <w:ilvl w:val="0"/>
          <w:numId w:val="9"/>
        </w:numPr>
        <w:spacing w:after="0" w:line="240" w:lineRule="auto"/>
        <w:jc w:val="both"/>
        <w:rPr>
          <w:rFonts w:cstheme="minorHAnsi"/>
          <w:lang w:val="en-US"/>
        </w:rPr>
      </w:pPr>
      <w:r w:rsidRPr="00C05CB6">
        <w:rPr>
          <w:rFonts w:cstheme="minorHAnsi"/>
          <w:lang w:val="en-US"/>
        </w:rPr>
        <w:t xml:space="preserve">The consultant must submit a progress report </w:t>
      </w:r>
      <w:r w:rsidR="009C0461" w:rsidRPr="00C05CB6">
        <w:rPr>
          <w:rFonts w:cstheme="minorHAnsi"/>
          <w:lang w:val="en-US"/>
        </w:rPr>
        <w:t>a</w:t>
      </w:r>
      <w:r w:rsidR="009C0461">
        <w:rPr>
          <w:rFonts w:cstheme="minorHAnsi"/>
          <w:lang w:val="en-US"/>
        </w:rPr>
        <w:t>t</w:t>
      </w:r>
      <w:r w:rsidR="009C0461" w:rsidRPr="00C05CB6">
        <w:rPr>
          <w:rFonts w:cstheme="minorHAnsi"/>
          <w:lang w:val="en-US"/>
        </w:rPr>
        <w:t xml:space="preserve"> </w:t>
      </w:r>
      <w:r w:rsidRPr="00C05CB6">
        <w:rPr>
          <w:rFonts w:cstheme="minorHAnsi"/>
          <w:lang w:val="en-US"/>
        </w:rPr>
        <w:t xml:space="preserve">the </w:t>
      </w:r>
      <w:r w:rsidR="009C0461">
        <w:rPr>
          <w:rFonts w:cstheme="minorHAnsi"/>
          <w:lang w:val="en-US"/>
        </w:rPr>
        <w:t>eighth</w:t>
      </w:r>
      <w:r w:rsidR="009C0461" w:rsidRPr="00C05CB6">
        <w:rPr>
          <w:rFonts w:cstheme="minorHAnsi"/>
          <w:lang w:val="en-US"/>
        </w:rPr>
        <w:t xml:space="preserve"> </w:t>
      </w:r>
      <w:r w:rsidRPr="00C05CB6">
        <w:rPr>
          <w:rFonts w:cstheme="minorHAnsi"/>
          <w:lang w:val="en-US"/>
        </w:rPr>
        <w:t xml:space="preserve">week of the consultancy containing the </w:t>
      </w:r>
      <w:r w:rsidR="009C0461">
        <w:rPr>
          <w:rFonts w:cstheme="minorHAnsi"/>
          <w:lang w:val="en-US"/>
        </w:rPr>
        <w:t>3 cases required by</w:t>
      </w:r>
      <w:r w:rsidRPr="00C05CB6">
        <w:rPr>
          <w:rFonts w:cstheme="minorHAnsi"/>
          <w:lang w:val="en-US"/>
        </w:rPr>
        <w:t xml:space="preserve"> the adaptation component.</w:t>
      </w:r>
    </w:p>
    <w:p w14:paraId="79051E00" w14:textId="174C993B" w:rsidR="00EE00F1" w:rsidRDefault="00EE00F1" w:rsidP="00C05CB6">
      <w:pPr>
        <w:numPr>
          <w:ilvl w:val="0"/>
          <w:numId w:val="9"/>
        </w:numPr>
        <w:spacing w:after="0" w:line="240" w:lineRule="auto"/>
        <w:jc w:val="both"/>
        <w:rPr>
          <w:rFonts w:cstheme="minorHAnsi"/>
          <w:lang w:val="en-US"/>
        </w:rPr>
      </w:pPr>
      <w:r w:rsidRPr="00C05CB6">
        <w:rPr>
          <w:rFonts w:cstheme="minorHAnsi"/>
          <w:lang w:val="en-US"/>
        </w:rPr>
        <w:t>The consultant must provide a final report with all activities completed at week 1</w:t>
      </w:r>
      <w:r w:rsidR="009C0461">
        <w:rPr>
          <w:rFonts w:cstheme="minorHAnsi"/>
          <w:lang w:val="en-US"/>
        </w:rPr>
        <w:t>4</w:t>
      </w:r>
      <w:r w:rsidRPr="00C05CB6">
        <w:rPr>
          <w:rFonts w:cstheme="minorHAnsi"/>
          <w:lang w:val="en-US"/>
        </w:rPr>
        <w:t xml:space="preserve"> of the consultancy.</w:t>
      </w:r>
    </w:p>
    <w:p w14:paraId="709F1DE2" w14:textId="7A2F2E03" w:rsidR="000E6E6F" w:rsidRPr="00C05CB6" w:rsidRDefault="000E6E6F" w:rsidP="00C05CB6">
      <w:pPr>
        <w:numPr>
          <w:ilvl w:val="0"/>
          <w:numId w:val="9"/>
        </w:numPr>
        <w:spacing w:after="0" w:line="240" w:lineRule="auto"/>
        <w:jc w:val="both"/>
        <w:rPr>
          <w:rFonts w:cstheme="minorHAnsi"/>
          <w:lang w:val="en-US"/>
        </w:rPr>
      </w:pPr>
      <w:r>
        <w:rPr>
          <w:rFonts w:cstheme="minorHAnsi"/>
          <w:lang w:val="en-US"/>
        </w:rPr>
        <w:t>The deliverables will be in Spanish.</w:t>
      </w:r>
    </w:p>
    <w:p w14:paraId="3E89FD4E" w14:textId="7638D685" w:rsidR="003F2B9F" w:rsidRDefault="003F2B9F" w:rsidP="00C05CB6">
      <w:pPr>
        <w:jc w:val="both"/>
        <w:rPr>
          <w:lang w:val="en-US"/>
        </w:rPr>
      </w:pPr>
    </w:p>
    <w:p w14:paraId="36A30DC0" w14:textId="2FD5236B" w:rsidR="00CF7EBA" w:rsidRPr="00C05CB6" w:rsidRDefault="000C0554" w:rsidP="00C05CB6">
      <w:pPr>
        <w:numPr>
          <w:ilvl w:val="0"/>
          <w:numId w:val="8"/>
        </w:numPr>
        <w:rPr>
          <w:b/>
          <w:bCs/>
          <w:u w:val="single"/>
          <w:lang w:val="en-US"/>
        </w:rPr>
      </w:pPr>
      <w:r w:rsidRPr="00C05CB6">
        <w:rPr>
          <w:b/>
          <w:bCs/>
          <w:u w:val="single"/>
          <w:lang w:val="en-US"/>
        </w:rPr>
        <w:t>Organizational</w:t>
      </w:r>
      <w:r w:rsidR="00CF7EBA" w:rsidRPr="00C05CB6">
        <w:rPr>
          <w:b/>
          <w:bCs/>
          <w:u w:val="single"/>
          <w:lang w:val="en-US"/>
        </w:rPr>
        <w:t xml:space="preserve"> Setting and Reporting:</w:t>
      </w:r>
    </w:p>
    <w:p w14:paraId="2853433C" w14:textId="77777777" w:rsidR="00CF7EBA" w:rsidRPr="00C05CB6" w:rsidRDefault="00CF7EBA" w:rsidP="00CF7EBA">
      <w:pPr>
        <w:spacing w:after="0" w:line="240" w:lineRule="auto"/>
        <w:jc w:val="both"/>
        <w:rPr>
          <w:rFonts w:cstheme="minorHAnsi"/>
          <w:sz w:val="24"/>
          <w:szCs w:val="24"/>
          <w:lang w:val="en-US"/>
        </w:rPr>
      </w:pPr>
    </w:p>
    <w:p w14:paraId="1D472F63" w14:textId="383F26C2" w:rsidR="00CF7EBA" w:rsidRPr="00C05CB6" w:rsidRDefault="00CF7EBA" w:rsidP="00CF7EBA">
      <w:pPr>
        <w:numPr>
          <w:ilvl w:val="0"/>
          <w:numId w:val="9"/>
        </w:numPr>
        <w:spacing w:after="0" w:line="240" w:lineRule="auto"/>
        <w:jc w:val="both"/>
        <w:rPr>
          <w:rFonts w:cstheme="minorHAnsi"/>
          <w:b/>
          <w:lang w:val="en-US"/>
        </w:rPr>
      </w:pPr>
      <w:r w:rsidRPr="00C05CB6">
        <w:rPr>
          <w:rFonts w:cstheme="minorHAnsi"/>
          <w:lang w:val="en-US"/>
        </w:rPr>
        <w:t xml:space="preserve">The Consultant will report to, and be directly supervised by the CBIT project team, consisting of a representative of the Chilean government (Ministry of Environment), and a representative from UNEP DTU Partnership. </w:t>
      </w:r>
    </w:p>
    <w:p w14:paraId="4EF1B398" w14:textId="77777777" w:rsidR="00CF7EBA" w:rsidRPr="00C05CB6" w:rsidRDefault="00CF7EBA" w:rsidP="00CF7EBA">
      <w:pPr>
        <w:numPr>
          <w:ilvl w:val="0"/>
          <w:numId w:val="9"/>
        </w:numPr>
        <w:spacing w:after="0" w:line="240" w:lineRule="auto"/>
        <w:jc w:val="both"/>
        <w:rPr>
          <w:rFonts w:cstheme="minorHAnsi"/>
          <w:b/>
          <w:lang w:val="en-US"/>
        </w:rPr>
      </w:pPr>
      <w:r w:rsidRPr="00C05CB6">
        <w:rPr>
          <w:rFonts w:cstheme="minorHAnsi"/>
          <w:lang w:val="en-US"/>
        </w:rPr>
        <w:t>The consultant will be given access to relevant information necessary for execution of the tasks under this assignment;</w:t>
      </w:r>
    </w:p>
    <w:p w14:paraId="2983A4C3" w14:textId="77777777" w:rsidR="00CF7EBA" w:rsidRPr="00F85F7D" w:rsidRDefault="00CF7EBA" w:rsidP="00CF7EBA">
      <w:pPr>
        <w:numPr>
          <w:ilvl w:val="0"/>
          <w:numId w:val="9"/>
        </w:numPr>
        <w:spacing w:after="0" w:line="240" w:lineRule="auto"/>
        <w:jc w:val="both"/>
        <w:rPr>
          <w:rFonts w:cstheme="minorHAnsi"/>
          <w:b/>
          <w:lang w:val="en-US"/>
        </w:rPr>
      </w:pPr>
      <w:r w:rsidRPr="00C05CB6">
        <w:rPr>
          <w:rFonts w:cstheme="minorHAnsi"/>
          <w:lang w:val="en-US"/>
        </w:rPr>
        <w:t xml:space="preserve">The </w:t>
      </w:r>
      <w:r w:rsidRPr="00F85F7D">
        <w:rPr>
          <w:rFonts w:cstheme="minorHAnsi"/>
          <w:lang w:val="en-US"/>
        </w:rPr>
        <w:t>consultant will be responsible for providing her/his own work station (i.e. Laptop, internet, phone, scanner/printer, etc.) and must have access to reliable internet connection;</w:t>
      </w:r>
    </w:p>
    <w:p w14:paraId="4163CA43" w14:textId="77777777" w:rsidR="00CF7EBA" w:rsidRPr="00F85F7D" w:rsidRDefault="00CF7EBA" w:rsidP="00CF7EBA">
      <w:pPr>
        <w:numPr>
          <w:ilvl w:val="0"/>
          <w:numId w:val="9"/>
        </w:numPr>
        <w:spacing w:after="0" w:line="240" w:lineRule="auto"/>
        <w:jc w:val="both"/>
        <w:rPr>
          <w:rFonts w:cstheme="minorHAnsi"/>
          <w:b/>
          <w:lang w:val="en-US"/>
        </w:rPr>
      </w:pPr>
      <w:r w:rsidRPr="00F85F7D">
        <w:rPr>
          <w:rFonts w:cstheme="minorHAnsi"/>
          <w:lang w:val="en-US"/>
        </w:rPr>
        <w:t>The consultant will be retained on a contract with the UNEP DTU Partnership and payments based on satisfactory delivery of expected outputs</w:t>
      </w:r>
    </w:p>
    <w:p w14:paraId="2F5B06BF" w14:textId="26E553E6" w:rsidR="00CF7EBA" w:rsidRPr="00DE2AD7" w:rsidRDefault="00CF7EBA" w:rsidP="00D94CD5">
      <w:pPr>
        <w:numPr>
          <w:ilvl w:val="0"/>
          <w:numId w:val="9"/>
        </w:numPr>
        <w:spacing w:after="0" w:line="240" w:lineRule="auto"/>
        <w:jc w:val="both"/>
        <w:rPr>
          <w:lang w:val="en-US"/>
        </w:rPr>
      </w:pPr>
      <w:r w:rsidRPr="00DE2AD7">
        <w:rPr>
          <w:rFonts w:cstheme="minorHAnsi"/>
          <w:lang w:val="en-US"/>
        </w:rPr>
        <w:t xml:space="preserve">The position is home-based </w:t>
      </w:r>
    </w:p>
    <w:p w14:paraId="46D05B2C" w14:textId="77777777" w:rsidR="00DE2AD7" w:rsidRPr="00DE2AD7" w:rsidRDefault="00DE2AD7" w:rsidP="00DE2AD7">
      <w:pPr>
        <w:spacing w:after="0" w:line="240" w:lineRule="auto"/>
        <w:ind w:left="720"/>
        <w:jc w:val="both"/>
        <w:rPr>
          <w:lang w:val="en-US"/>
        </w:rPr>
      </w:pPr>
    </w:p>
    <w:p w14:paraId="36040098" w14:textId="77777777" w:rsidR="00EE00F1" w:rsidRPr="00C05CB6" w:rsidRDefault="00EE00F1" w:rsidP="00C05CB6">
      <w:pPr>
        <w:numPr>
          <w:ilvl w:val="0"/>
          <w:numId w:val="8"/>
        </w:numPr>
        <w:rPr>
          <w:b/>
          <w:bCs/>
          <w:u w:val="single"/>
          <w:lang w:val="en-US"/>
        </w:rPr>
      </w:pPr>
      <w:r w:rsidRPr="00C05CB6">
        <w:rPr>
          <w:b/>
          <w:bCs/>
          <w:u w:val="single"/>
          <w:lang w:val="en-US"/>
        </w:rPr>
        <w:lastRenderedPageBreak/>
        <w:t>Runtime</w:t>
      </w:r>
    </w:p>
    <w:p w14:paraId="57A47B38" w14:textId="77777777" w:rsidR="00EE00F1" w:rsidRPr="00C05CB6" w:rsidRDefault="00EE00F1" w:rsidP="00961A05">
      <w:pPr>
        <w:jc w:val="both"/>
        <w:rPr>
          <w:lang w:val="en-US"/>
        </w:rPr>
      </w:pPr>
      <w:r w:rsidRPr="00C05CB6">
        <w:rPr>
          <w:lang w:val="en-US"/>
        </w:rPr>
        <w:t>14 weeks</w:t>
      </w:r>
    </w:p>
    <w:p w14:paraId="3AC29250" w14:textId="2227D5A7" w:rsidR="00EE00F1" w:rsidRPr="00C05CB6" w:rsidRDefault="005C1EC9" w:rsidP="00C05CB6">
      <w:pPr>
        <w:numPr>
          <w:ilvl w:val="0"/>
          <w:numId w:val="8"/>
        </w:numPr>
        <w:rPr>
          <w:b/>
          <w:bCs/>
          <w:u w:val="single"/>
          <w:lang w:val="en-US"/>
        </w:rPr>
      </w:pPr>
      <w:r>
        <w:rPr>
          <w:b/>
          <w:bCs/>
          <w:u w:val="single"/>
          <w:lang w:val="en-US"/>
        </w:rPr>
        <w:t xml:space="preserve">Qualifications required </w:t>
      </w:r>
      <w:r w:rsidR="00D409B8">
        <w:rPr>
          <w:b/>
          <w:bCs/>
          <w:u w:val="single"/>
          <w:lang w:val="en-US"/>
        </w:rPr>
        <w:t>(</w:t>
      </w:r>
      <w:r w:rsidR="00606F8D">
        <w:rPr>
          <w:b/>
          <w:bCs/>
          <w:u w:val="single"/>
          <w:lang w:val="en-US"/>
        </w:rPr>
        <w:t>Minimum</w:t>
      </w:r>
      <w:r w:rsidR="00D409B8">
        <w:rPr>
          <w:b/>
          <w:bCs/>
          <w:u w:val="single"/>
          <w:lang w:val="en-US"/>
        </w:rPr>
        <w:t>)</w:t>
      </w:r>
    </w:p>
    <w:p w14:paraId="30BC9706" w14:textId="78B5BAB7" w:rsidR="00EE00F1" w:rsidRPr="00FB2068" w:rsidRDefault="00EE00F1" w:rsidP="00DE3CF3">
      <w:pPr>
        <w:jc w:val="both"/>
        <w:rPr>
          <w:lang w:val="en-US"/>
        </w:rPr>
      </w:pPr>
      <w:r w:rsidRPr="00FB2068">
        <w:rPr>
          <w:lang w:val="en-US"/>
        </w:rPr>
        <w:t xml:space="preserve">The consultant must present a team of at least 2 members. The </w:t>
      </w:r>
      <w:r w:rsidR="009C0461" w:rsidRPr="00FB2068">
        <w:rPr>
          <w:lang w:val="en-US"/>
        </w:rPr>
        <w:t xml:space="preserve">team </w:t>
      </w:r>
      <w:r w:rsidRPr="00FB2068">
        <w:rPr>
          <w:lang w:val="en-US"/>
        </w:rPr>
        <w:t xml:space="preserve">must have at least the following </w:t>
      </w:r>
      <w:r w:rsidR="005C1EC9" w:rsidRPr="00FB2068">
        <w:rPr>
          <w:lang w:val="en-US"/>
        </w:rPr>
        <w:t>qualifications</w:t>
      </w:r>
      <w:r w:rsidRPr="00FB2068">
        <w:rPr>
          <w:lang w:val="en-US"/>
        </w:rPr>
        <w:t>:</w:t>
      </w:r>
    </w:p>
    <w:p w14:paraId="1B84CE01" w14:textId="39337BF0" w:rsidR="00EE00F1" w:rsidRPr="00FB2068" w:rsidRDefault="005C1EC9" w:rsidP="00504BD6">
      <w:pPr>
        <w:numPr>
          <w:ilvl w:val="0"/>
          <w:numId w:val="10"/>
        </w:numPr>
        <w:spacing w:after="0" w:line="240" w:lineRule="auto"/>
        <w:ind w:left="750"/>
        <w:jc w:val="both"/>
        <w:textAlignment w:val="baseline"/>
        <w:rPr>
          <w:rFonts w:cstheme="minorHAnsi"/>
          <w:lang w:val="en-US"/>
        </w:rPr>
      </w:pPr>
      <w:r w:rsidRPr="00FB2068">
        <w:rPr>
          <w:rFonts w:cstheme="minorHAnsi"/>
          <w:lang w:val="en-US"/>
        </w:rPr>
        <w:t xml:space="preserve">A </w:t>
      </w:r>
      <w:r w:rsidR="00EE00F1" w:rsidRPr="00FB2068">
        <w:rPr>
          <w:rFonts w:cstheme="minorHAnsi"/>
          <w:lang w:val="en-US"/>
        </w:rPr>
        <w:t xml:space="preserve">postgraduate degree in the area of agriculture, who demonstrates </w:t>
      </w:r>
      <w:r w:rsidRPr="00FB2068">
        <w:rPr>
          <w:rFonts w:cstheme="minorHAnsi"/>
          <w:lang w:val="en-US"/>
        </w:rPr>
        <w:t xml:space="preserve">in-depth </w:t>
      </w:r>
      <w:r w:rsidR="00EE00F1" w:rsidRPr="00FB2068">
        <w:rPr>
          <w:rFonts w:cstheme="minorHAnsi"/>
          <w:lang w:val="en-US"/>
        </w:rPr>
        <w:t>experience in climate change issues for.</w:t>
      </w:r>
      <w:r w:rsidR="000B4D8D" w:rsidRPr="00FB2068">
        <w:rPr>
          <w:rFonts w:cstheme="minorHAnsi"/>
          <w:lang w:val="en-US"/>
        </w:rPr>
        <w:t xml:space="preserve"> (</w:t>
      </w:r>
      <w:r w:rsidRPr="00FB2068">
        <w:rPr>
          <w:rFonts w:cstheme="minorHAnsi"/>
          <w:lang w:val="en-US"/>
        </w:rPr>
        <w:t>2</w:t>
      </w:r>
      <w:r w:rsidR="0033372F" w:rsidRPr="00FB2068">
        <w:rPr>
          <w:rFonts w:cstheme="minorHAnsi"/>
          <w:lang w:val="en-US"/>
        </w:rPr>
        <w:t>0</w:t>
      </w:r>
      <w:r w:rsidR="000B4D8D" w:rsidRPr="00FB2068">
        <w:rPr>
          <w:rFonts w:cstheme="minorHAnsi"/>
          <w:lang w:val="en-US"/>
        </w:rPr>
        <w:t>%)</w:t>
      </w:r>
    </w:p>
    <w:p w14:paraId="50DFC4D1" w14:textId="68611CDD" w:rsidR="00EE00F1" w:rsidRPr="00FB2068" w:rsidRDefault="005C1EC9" w:rsidP="00504BD6">
      <w:pPr>
        <w:numPr>
          <w:ilvl w:val="0"/>
          <w:numId w:val="10"/>
        </w:numPr>
        <w:spacing w:after="0" w:line="240" w:lineRule="auto"/>
        <w:ind w:left="750"/>
        <w:jc w:val="both"/>
        <w:textAlignment w:val="baseline"/>
        <w:rPr>
          <w:rFonts w:cstheme="minorHAnsi"/>
          <w:lang w:val="en-US"/>
        </w:rPr>
      </w:pPr>
      <w:r w:rsidRPr="00FB2068">
        <w:rPr>
          <w:rFonts w:cstheme="minorHAnsi"/>
          <w:lang w:val="en-US"/>
        </w:rPr>
        <w:t>Considerable</w:t>
      </w:r>
      <w:r w:rsidR="00EE00F1" w:rsidRPr="00FB2068">
        <w:rPr>
          <w:rFonts w:cstheme="minorHAnsi"/>
          <w:lang w:val="en-US"/>
        </w:rPr>
        <w:t xml:space="preserve"> experience in public policy analysis or development.</w:t>
      </w:r>
      <w:r w:rsidR="000B4D8D" w:rsidRPr="00FB2068">
        <w:rPr>
          <w:rFonts w:cstheme="minorHAnsi"/>
          <w:lang w:val="en-US"/>
        </w:rPr>
        <w:t xml:space="preserve"> </w:t>
      </w:r>
      <w:r w:rsidRPr="00FB2068">
        <w:rPr>
          <w:rFonts w:cstheme="minorHAnsi"/>
          <w:lang w:val="en-US"/>
        </w:rPr>
        <w:t>(1</w:t>
      </w:r>
      <w:r w:rsidR="0033372F" w:rsidRPr="00FB2068">
        <w:rPr>
          <w:rFonts w:cstheme="minorHAnsi"/>
          <w:lang w:val="en-US"/>
        </w:rPr>
        <w:t>0</w:t>
      </w:r>
      <w:r w:rsidR="000B4D8D" w:rsidRPr="00FB2068">
        <w:rPr>
          <w:rFonts w:cstheme="minorHAnsi"/>
          <w:lang w:val="en-US"/>
        </w:rPr>
        <w:t>%)</w:t>
      </w:r>
    </w:p>
    <w:p w14:paraId="338E7891" w14:textId="0EB78434" w:rsidR="00EE00F1" w:rsidRPr="00FB2068" w:rsidRDefault="005C1EC9" w:rsidP="00504BD6">
      <w:pPr>
        <w:numPr>
          <w:ilvl w:val="0"/>
          <w:numId w:val="10"/>
        </w:numPr>
        <w:spacing w:after="0" w:line="240" w:lineRule="auto"/>
        <w:ind w:left="750"/>
        <w:jc w:val="both"/>
        <w:textAlignment w:val="baseline"/>
        <w:rPr>
          <w:rFonts w:cstheme="minorHAnsi"/>
          <w:lang w:val="en-US"/>
        </w:rPr>
      </w:pPr>
      <w:r w:rsidRPr="00FB2068">
        <w:rPr>
          <w:rFonts w:cstheme="minorHAnsi"/>
          <w:lang w:val="en-US"/>
        </w:rPr>
        <w:t xml:space="preserve">Considerable </w:t>
      </w:r>
      <w:r w:rsidR="00EE00F1" w:rsidRPr="00FB2068">
        <w:rPr>
          <w:rFonts w:cstheme="minorHAnsi"/>
          <w:lang w:val="en-US"/>
        </w:rPr>
        <w:t>experience in GHG mitigation</w:t>
      </w:r>
      <w:r w:rsidR="009C0461" w:rsidRPr="00FB2068">
        <w:rPr>
          <w:rFonts w:cstheme="minorHAnsi"/>
          <w:lang w:val="en-US"/>
        </w:rPr>
        <w:t xml:space="preserve"> analysis</w:t>
      </w:r>
      <w:r w:rsidR="00EE00F1" w:rsidRPr="00FB2068">
        <w:rPr>
          <w:rFonts w:cstheme="minorHAnsi"/>
          <w:lang w:val="en-US"/>
        </w:rPr>
        <w:t xml:space="preserve"> in the agriculture sector.</w:t>
      </w:r>
      <w:r w:rsidR="000B4D8D" w:rsidRPr="00FB2068">
        <w:rPr>
          <w:rFonts w:cstheme="minorHAnsi"/>
          <w:lang w:val="en-US"/>
        </w:rPr>
        <w:t xml:space="preserve"> </w:t>
      </w:r>
      <w:r w:rsidRPr="00FB2068">
        <w:rPr>
          <w:rFonts w:cstheme="minorHAnsi"/>
          <w:lang w:val="en-US"/>
        </w:rPr>
        <w:t>(15</w:t>
      </w:r>
      <w:r w:rsidR="000B4D8D" w:rsidRPr="00FB2068">
        <w:rPr>
          <w:rFonts w:cstheme="minorHAnsi"/>
          <w:lang w:val="en-US"/>
        </w:rPr>
        <w:t>%)</w:t>
      </w:r>
    </w:p>
    <w:p w14:paraId="42EFFE6E" w14:textId="1B8AC4DF" w:rsidR="00B377B9" w:rsidRPr="00FB2068" w:rsidRDefault="005C1EC9" w:rsidP="00504BD6">
      <w:pPr>
        <w:pStyle w:val="ListParagraph"/>
        <w:numPr>
          <w:ilvl w:val="0"/>
          <w:numId w:val="10"/>
        </w:numPr>
        <w:spacing w:after="0" w:line="240" w:lineRule="auto"/>
        <w:jc w:val="both"/>
        <w:textAlignment w:val="baseline"/>
        <w:rPr>
          <w:rFonts w:cstheme="minorHAnsi"/>
          <w:lang w:val="en-US"/>
        </w:rPr>
      </w:pPr>
      <w:r w:rsidRPr="00FB2068">
        <w:rPr>
          <w:rFonts w:cstheme="minorHAnsi"/>
          <w:lang w:val="en-US"/>
        </w:rPr>
        <w:t xml:space="preserve">Considerable </w:t>
      </w:r>
      <w:r w:rsidR="00B377B9" w:rsidRPr="00FB2068">
        <w:rPr>
          <w:rFonts w:cstheme="minorHAnsi"/>
          <w:lang w:val="en-US"/>
        </w:rPr>
        <w:t>experience in adapting to climate change in the agriculture sector. Knowledge and verifiable experience in sector climate risk assessments incorporating Ecosystem based Approaches (</w:t>
      </w:r>
      <w:proofErr w:type="spellStart"/>
      <w:r w:rsidR="00B377B9" w:rsidRPr="00FB2068">
        <w:rPr>
          <w:rFonts w:cstheme="minorHAnsi"/>
          <w:lang w:val="en-US"/>
        </w:rPr>
        <w:t>EbA</w:t>
      </w:r>
      <w:proofErr w:type="spellEnd"/>
      <w:r w:rsidR="00B377B9" w:rsidRPr="00FB2068">
        <w:rPr>
          <w:rFonts w:cstheme="minorHAnsi"/>
          <w:lang w:val="en-US"/>
        </w:rPr>
        <w:t>), Nature Based Solutions (</w:t>
      </w:r>
      <w:proofErr w:type="spellStart"/>
      <w:r w:rsidR="00B377B9" w:rsidRPr="00FB2068">
        <w:rPr>
          <w:rFonts w:cstheme="minorHAnsi"/>
          <w:lang w:val="en-US"/>
        </w:rPr>
        <w:t>NbS</w:t>
      </w:r>
      <w:proofErr w:type="spellEnd"/>
      <w:r w:rsidR="00B377B9" w:rsidRPr="00FB2068">
        <w:rPr>
          <w:rFonts w:cstheme="minorHAnsi"/>
          <w:lang w:val="en-US"/>
        </w:rPr>
        <w:t>), or similar is required.</w:t>
      </w:r>
      <w:r w:rsidR="000B4D8D" w:rsidRPr="00FB2068">
        <w:rPr>
          <w:rFonts w:cstheme="minorHAnsi"/>
          <w:lang w:val="en-US"/>
        </w:rPr>
        <w:t xml:space="preserve"> (</w:t>
      </w:r>
      <w:r w:rsidR="0033372F" w:rsidRPr="00FB2068">
        <w:rPr>
          <w:rFonts w:cstheme="minorHAnsi"/>
          <w:lang w:val="en-US"/>
        </w:rPr>
        <w:t>15</w:t>
      </w:r>
      <w:r w:rsidR="000B4D8D" w:rsidRPr="00FB2068">
        <w:rPr>
          <w:rFonts w:cstheme="minorHAnsi"/>
          <w:lang w:val="en-US"/>
        </w:rPr>
        <w:t>%)</w:t>
      </w:r>
    </w:p>
    <w:p w14:paraId="35AF6106" w14:textId="762F1832" w:rsidR="004051A6" w:rsidRPr="00FB2068" w:rsidRDefault="004051A6" w:rsidP="004051A6">
      <w:pPr>
        <w:spacing w:after="0" w:line="240" w:lineRule="auto"/>
        <w:jc w:val="both"/>
        <w:textAlignment w:val="baseline"/>
        <w:rPr>
          <w:rFonts w:cstheme="minorHAnsi"/>
          <w:lang w:val="en-US"/>
        </w:rPr>
      </w:pPr>
    </w:p>
    <w:p w14:paraId="3F2942B9" w14:textId="77777777" w:rsidR="004051A6" w:rsidRPr="00FB2068" w:rsidRDefault="004051A6" w:rsidP="004051A6">
      <w:pPr>
        <w:jc w:val="both"/>
        <w:rPr>
          <w:lang w:val="en-US"/>
        </w:rPr>
      </w:pPr>
      <w:r w:rsidRPr="00FB2068">
        <w:rPr>
          <w:lang w:val="en-US"/>
        </w:rPr>
        <w:t>A professional can meet one or more of the above characteristics, being sufficient to meet the requirement of the characteristics in which it meets.</w:t>
      </w:r>
    </w:p>
    <w:p w14:paraId="59FEBB11" w14:textId="64E5D91D" w:rsidR="004051A6" w:rsidRPr="00FB2068" w:rsidRDefault="004051A6" w:rsidP="004051A6">
      <w:pPr>
        <w:jc w:val="both"/>
        <w:rPr>
          <w:lang w:val="en-US"/>
        </w:rPr>
      </w:pPr>
      <w:r w:rsidRPr="00FB2068">
        <w:rPr>
          <w:lang w:val="en-US"/>
        </w:rPr>
        <w:t>Values in parentheses correspond to the individual contribution of each professional in the total score obtained by this proposal.</w:t>
      </w:r>
    </w:p>
    <w:p w14:paraId="7C630870" w14:textId="6CA9EFCC" w:rsidR="005C1EC9" w:rsidRDefault="003D63B0" w:rsidP="004051A6">
      <w:pPr>
        <w:spacing w:after="0" w:line="240" w:lineRule="auto"/>
        <w:jc w:val="both"/>
        <w:textAlignment w:val="baseline"/>
        <w:rPr>
          <w:rFonts w:cstheme="minorHAnsi"/>
          <w:lang w:val="en-US"/>
        </w:rPr>
      </w:pPr>
      <w:r w:rsidRPr="00FB2068">
        <w:rPr>
          <w:rFonts w:cstheme="minorHAnsi"/>
          <w:lang w:val="en-US"/>
        </w:rPr>
        <w:t>Likewise</w:t>
      </w:r>
      <w:r w:rsidR="004051A6" w:rsidRPr="00FB2068">
        <w:rPr>
          <w:rFonts w:cstheme="minorHAnsi"/>
          <w:lang w:val="en-US"/>
        </w:rPr>
        <w:t xml:space="preserve"> the methodology and implementation plan will be evaluated</w:t>
      </w:r>
      <w:r w:rsidR="003E53FB" w:rsidRPr="00FB2068">
        <w:rPr>
          <w:rFonts w:cstheme="minorHAnsi"/>
          <w:lang w:val="en-US"/>
        </w:rPr>
        <w:t xml:space="preserve">: </w:t>
      </w:r>
      <w:r w:rsidR="003E53FB" w:rsidRPr="00FB2068">
        <w:rPr>
          <w:lang w:val="en"/>
        </w:rPr>
        <w:t>The methodological proposal shows an in-depth knowledge of the required topics, clearly defining how the activities requested in these terms of reference will be carried out and demonstrating their knowledge of the required bibliography.</w:t>
      </w:r>
      <w:r w:rsidR="005C1EC9" w:rsidRPr="00FB2068">
        <w:rPr>
          <w:rFonts w:cstheme="minorHAnsi"/>
          <w:lang w:val="en-US"/>
        </w:rPr>
        <w:t xml:space="preserve"> (</w:t>
      </w:r>
      <w:r w:rsidR="0033372F" w:rsidRPr="00FB2068">
        <w:rPr>
          <w:rFonts w:cstheme="minorHAnsi"/>
          <w:lang w:val="en-US"/>
        </w:rPr>
        <w:t>40</w:t>
      </w:r>
      <w:r w:rsidR="005C1EC9" w:rsidRPr="00FB2068">
        <w:rPr>
          <w:rFonts w:cstheme="minorHAnsi"/>
          <w:lang w:val="en-US"/>
        </w:rPr>
        <w:t>%)</w:t>
      </w:r>
    </w:p>
    <w:p w14:paraId="0BB41F26" w14:textId="77777777" w:rsidR="004051A6" w:rsidRDefault="004051A6" w:rsidP="00C05CB6">
      <w:pPr>
        <w:rPr>
          <w:b/>
          <w:bCs/>
          <w:u w:val="single"/>
          <w:lang w:val="en-US"/>
        </w:rPr>
      </w:pPr>
    </w:p>
    <w:p w14:paraId="70496537" w14:textId="5EE4D45F" w:rsidR="00206169" w:rsidRPr="00C05CB6" w:rsidRDefault="00CF7EBA" w:rsidP="00C05CB6">
      <w:pPr>
        <w:rPr>
          <w:b/>
          <w:bCs/>
          <w:u w:val="single"/>
          <w:lang w:val="en-US"/>
        </w:rPr>
      </w:pPr>
      <w:r w:rsidRPr="00C05CB6">
        <w:rPr>
          <w:b/>
          <w:bCs/>
          <w:u w:val="single"/>
          <w:lang w:val="en-US"/>
        </w:rPr>
        <w:t>Language skills:</w:t>
      </w:r>
    </w:p>
    <w:p w14:paraId="1A82C858" w14:textId="4F867940" w:rsidR="00CF7EBA" w:rsidRPr="00C05CB6" w:rsidRDefault="00CF7EBA" w:rsidP="00206169">
      <w:pPr>
        <w:jc w:val="both"/>
        <w:rPr>
          <w:lang w:val="en-US"/>
        </w:rPr>
      </w:pPr>
      <w:r w:rsidRPr="00C05CB6">
        <w:rPr>
          <w:lang w:val="en-US"/>
        </w:rPr>
        <w:t>Fluency in Spanish and English</w:t>
      </w:r>
    </w:p>
    <w:p w14:paraId="3FE468D1" w14:textId="77777777" w:rsidR="00CF7EBA" w:rsidRPr="00C05CB6" w:rsidRDefault="00CF7EBA" w:rsidP="00C05CB6">
      <w:pPr>
        <w:numPr>
          <w:ilvl w:val="0"/>
          <w:numId w:val="8"/>
        </w:numPr>
        <w:rPr>
          <w:rFonts w:cstheme="minorHAnsi"/>
          <w:b/>
          <w:sz w:val="24"/>
          <w:szCs w:val="24"/>
          <w:lang w:val="en-US"/>
        </w:rPr>
      </w:pPr>
      <w:r w:rsidRPr="00C05CB6">
        <w:rPr>
          <w:b/>
          <w:bCs/>
          <w:u w:val="single"/>
          <w:lang w:val="en-US"/>
        </w:rPr>
        <w:t>Application procedure:</w:t>
      </w:r>
    </w:p>
    <w:p w14:paraId="6B67DB5D" w14:textId="6B2FD85A" w:rsidR="00CF7EBA" w:rsidRPr="00C05CB6" w:rsidRDefault="00CF7EBA" w:rsidP="00CF7EBA">
      <w:pPr>
        <w:spacing w:after="0" w:line="293" w:lineRule="atLeast"/>
        <w:textAlignment w:val="baseline"/>
        <w:rPr>
          <w:rFonts w:eastAsia="Times New Roman" w:cstheme="minorHAnsi"/>
          <w:lang w:val="en-US"/>
        </w:rPr>
      </w:pPr>
      <w:r w:rsidRPr="00C05CB6">
        <w:rPr>
          <w:rFonts w:eastAsia="Times New Roman" w:cstheme="minorHAnsi"/>
          <w:lang w:val="en-US"/>
        </w:rPr>
        <w:t>The application should</w:t>
      </w:r>
      <w:r w:rsidR="000A7150">
        <w:rPr>
          <w:rFonts w:eastAsia="Times New Roman" w:cstheme="minorHAnsi"/>
          <w:lang w:val="en-US"/>
        </w:rPr>
        <w:t xml:space="preserve"> be </w:t>
      </w:r>
      <w:r w:rsidR="000A7150" w:rsidRPr="000B4D8D">
        <w:rPr>
          <w:rFonts w:eastAsia="Times New Roman" w:cstheme="minorHAnsi"/>
          <w:b/>
          <w:lang w:val="en-US"/>
        </w:rPr>
        <w:t xml:space="preserve">in Spanish </w:t>
      </w:r>
      <w:r w:rsidR="000A7150">
        <w:rPr>
          <w:rFonts w:eastAsia="Times New Roman" w:cstheme="minorHAnsi"/>
          <w:lang w:val="en-US"/>
        </w:rPr>
        <w:t>and</w:t>
      </w:r>
      <w:r w:rsidRPr="00C05CB6">
        <w:rPr>
          <w:rFonts w:eastAsia="Times New Roman" w:cstheme="minorHAnsi"/>
          <w:lang w:val="en-US"/>
        </w:rPr>
        <w:t xml:space="preserve"> contain:</w:t>
      </w:r>
    </w:p>
    <w:p w14:paraId="45A30D37" w14:textId="77777777" w:rsidR="00595C67" w:rsidRPr="00C05CB6" w:rsidRDefault="00595C67" w:rsidP="00CF7EBA">
      <w:pPr>
        <w:spacing w:after="0" w:line="293" w:lineRule="atLeast"/>
        <w:textAlignment w:val="baseline"/>
        <w:rPr>
          <w:rFonts w:eastAsia="Times New Roman" w:cstheme="minorHAnsi"/>
          <w:sz w:val="24"/>
          <w:szCs w:val="24"/>
          <w:lang w:val="en-US"/>
        </w:rPr>
      </w:pPr>
    </w:p>
    <w:p w14:paraId="0A577AB8" w14:textId="4697FE27" w:rsidR="00CF7EBA" w:rsidRPr="00290C80" w:rsidRDefault="00CF7EBA" w:rsidP="00CF7EBA">
      <w:pPr>
        <w:numPr>
          <w:ilvl w:val="0"/>
          <w:numId w:val="10"/>
        </w:numPr>
        <w:spacing w:after="0" w:line="240" w:lineRule="auto"/>
        <w:ind w:left="750"/>
        <w:textAlignment w:val="baseline"/>
        <w:rPr>
          <w:rFonts w:cstheme="minorHAnsi"/>
          <w:lang w:val="en-US"/>
        </w:rPr>
      </w:pPr>
      <w:r w:rsidRPr="00290C80">
        <w:rPr>
          <w:rFonts w:cstheme="minorHAnsi"/>
          <w:lang w:val="en-US"/>
        </w:rPr>
        <w:t>CV and cover letter</w:t>
      </w:r>
      <w:r w:rsidR="001C3E16" w:rsidRPr="00290C80">
        <w:rPr>
          <w:rFonts w:cstheme="minorHAnsi"/>
          <w:lang w:val="en-US"/>
        </w:rPr>
        <w:t>.</w:t>
      </w:r>
      <w:r w:rsidRPr="00290C80">
        <w:rPr>
          <w:rFonts w:cstheme="minorHAnsi"/>
          <w:lang w:val="en-US"/>
        </w:rPr>
        <w:t xml:space="preserve"> </w:t>
      </w:r>
    </w:p>
    <w:p w14:paraId="4A0CB193" w14:textId="61418735" w:rsidR="001C3E16" w:rsidRDefault="00CF7EBA">
      <w:pPr>
        <w:numPr>
          <w:ilvl w:val="0"/>
          <w:numId w:val="10"/>
        </w:numPr>
        <w:spacing w:after="0" w:line="240" w:lineRule="auto"/>
        <w:ind w:left="750"/>
        <w:textAlignment w:val="baseline"/>
        <w:rPr>
          <w:rFonts w:cstheme="minorHAnsi"/>
          <w:lang w:val="en-US"/>
        </w:rPr>
      </w:pPr>
      <w:r w:rsidRPr="00290C80">
        <w:rPr>
          <w:rFonts w:cstheme="minorHAnsi"/>
          <w:lang w:val="en-US"/>
        </w:rPr>
        <w:t>Methodology on how the consultant expects to implement the activities.</w:t>
      </w:r>
    </w:p>
    <w:p w14:paraId="21DACAFD" w14:textId="10D64DCD" w:rsidR="00D0535C" w:rsidRDefault="00D0535C" w:rsidP="00D409B8">
      <w:pPr>
        <w:spacing w:after="0" w:line="240" w:lineRule="auto"/>
        <w:textAlignment w:val="baseline"/>
        <w:rPr>
          <w:rFonts w:cstheme="minorHAnsi"/>
          <w:lang w:val="en-US"/>
        </w:rPr>
      </w:pPr>
    </w:p>
    <w:p w14:paraId="08737B22" w14:textId="449D71F5" w:rsidR="00C37EC5" w:rsidRDefault="00C37EC5" w:rsidP="00D409B8">
      <w:pPr>
        <w:spacing w:after="0" w:line="240" w:lineRule="auto"/>
        <w:textAlignment w:val="baseline"/>
        <w:rPr>
          <w:rFonts w:cstheme="minorHAnsi"/>
          <w:lang w:val="en-US"/>
        </w:rPr>
      </w:pPr>
      <w:r>
        <w:rPr>
          <w:rFonts w:cstheme="minorHAnsi"/>
          <w:lang w:val="en-US"/>
        </w:rPr>
        <w:t xml:space="preserve">Please send the application to Per Harry Wretlind at </w:t>
      </w:r>
      <w:hyperlink r:id="rId8" w:history="1">
        <w:r w:rsidRPr="006B2845">
          <w:rPr>
            <w:rStyle w:val="Hyperlink"/>
            <w:rFonts w:cstheme="minorHAnsi"/>
            <w:lang w:val="en-US"/>
          </w:rPr>
          <w:t>perwre@dtu.dk</w:t>
        </w:r>
      </w:hyperlink>
      <w:r>
        <w:rPr>
          <w:rFonts w:cstheme="minorHAnsi"/>
          <w:lang w:val="en-US"/>
        </w:rPr>
        <w:t xml:space="preserve"> and Bruno Andres Campos Rubillo at </w:t>
      </w:r>
      <w:hyperlink r:id="rId9" w:history="1">
        <w:r w:rsidRPr="006B2845">
          <w:rPr>
            <w:rStyle w:val="Hyperlink"/>
            <w:rFonts w:cstheme="minorHAnsi"/>
            <w:lang w:val="en-US"/>
          </w:rPr>
          <w:t>BCampos@mma.gob.cl</w:t>
        </w:r>
      </w:hyperlink>
      <w:r>
        <w:rPr>
          <w:rFonts w:cstheme="minorHAnsi"/>
          <w:lang w:val="en-US"/>
        </w:rPr>
        <w:t xml:space="preserve">. </w:t>
      </w:r>
    </w:p>
    <w:p w14:paraId="54DB9B02" w14:textId="467E7010" w:rsidR="00D409B8" w:rsidRPr="00504BD6" w:rsidRDefault="00D409B8" w:rsidP="00D409B8">
      <w:pPr>
        <w:spacing w:after="0" w:line="240" w:lineRule="auto"/>
        <w:textAlignment w:val="baseline"/>
        <w:rPr>
          <w:rFonts w:cstheme="minorHAnsi"/>
          <w:lang w:val="en-US"/>
        </w:rPr>
      </w:pPr>
    </w:p>
    <w:p w14:paraId="17BE392F" w14:textId="30B2E747" w:rsidR="001C3E16" w:rsidRPr="00290C80" w:rsidRDefault="001C3E16" w:rsidP="00C05CB6">
      <w:pPr>
        <w:numPr>
          <w:ilvl w:val="0"/>
          <w:numId w:val="8"/>
        </w:numPr>
        <w:rPr>
          <w:b/>
          <w:bCs/>
          <w:u w:val="single"/>
          <w:lang w:val="en-US"/>
        </w:rPr>
      </w:pPr>
      <w:r w:rsidRPr="00290C80">
        <w:rPr>
          <w:b/>
          <w:bCs/>
          <w:u w:val="single"/>
          <w:lang w:val="en-US"/>
        </w:rPr>
        <w:t>Budget</w:t>
      </w:r>
    </w:p>
    <w:p w14:paraId="74E67A64" w14:textId="40BDAA00" w:rsidR="00CF7EBA" w:rsidRPr="00C05CB6" w:rsidRDefault="001C3E16" w:rsidP="00C05CB6">
      <w:pPr>
        <w:spacing w:after="0" w:line="240" w:lineRule="auto"/>
        <w:textAlignment w:val="baseline"/>
        <w:rPr>
          <w:rFonts w:cstheme="minorHAnsi"/>
          <w:lang w:val="en-US"/>
        </w:rPr>
      </w:pPr>
      <w:r w:rsidRPr="00290C80">
        <w:rPr>
          <w:lang w:val="en-US"/>
        </w:rPr>
        <w:t>The maximum</w:t>
      </w:r>
      <w:r w:rsidRPr="00C05CB6">
        <w:rPr>
          <w:lang w:val="en-US"/>
        </w:rPr>
        <w:t xml:space="preserve"> budget corresponds to US 26,500.</w:t>
      </w:r>
    </w:p>
    <w:p w14:paraId="4A3658BF" w14:textId="77777777" w:rsidR="000D2FE6" w:rsidRPr="00C05CB6" w:rsidRDefault="000D2FE6" w:rsidP="000D2FE6">
      <w:pPr>
        <w:spacing w:after="0" w:line="240" w:lineRule="auto"/>
        <w:ind w:left="750"/>
        <w:textAlignment w:val="baseline"/>
        <w:rPr>
          <w:rFonts w:cstheme="minorHAnsi"/>
          <w:sz w:val="24"/>
          <w:szCs w:val="24"/>
          <w:lang w:val="en-US"/>
        </w:rPr>
      </w:pPr>
    </w:p>
    <w:p w14:paraId="41A11F17" w14:textId="608080E8" w:rsidR="00DF0B01" w:rsidRPr="00C05CB6" w:rsidRDefault="001C3105" w:rsidP="00EE00F1">
      <w:pPr>
        <w:numPr>
          <w:ilvl w:val="0"/>
          <w:numId w:val="8"/>
        </w:numPr>
        <w:rPr>
          <w:b/>
          <w:bCs/>
          <w:u w:val="single"/>
          <w:lang w:val="en-US"/>
        </w:rPr>
      </w:pPr>
      <w:r w:rsidRPr="00C05CB6">
        <w:rPr>
          <w:b/>
          <w:bCs/>
          <w:u w:val="single"/>
          <w:lang w:val="en-US"/>
        </w:rPr>
        <w:t>Bibliography</w:t>
      </w:r>
    </w:p>
    <w:p w14:paraId="762923FD" w14:textId="77777777" w:rsidR="00EE00F1" w:rsidRPr="00C05CB6" w:rsidRDefault="00EE00F1" w:rsidP="00253316">
      <w:pPr>
        <w:rPr>
          <w:b/>
          <w:bCs/>
          <w:u w:val="single"/>
          <w:lang w:val="en-US"/>
        </w:rPr>
      </w:pPr>
      <w:r w:rsidRPr="00C05CB6">
        <w:rPr>
          <w:b/>
          <w:u w:val="single"/>
          <w:lang w:val="en-US"/>
        </w:rPr>
        <w:t>Minimum bibliographies required in the analysis</w:t>
      </w:r>
    </w:p>
    <w:p w14:paraId="08235178" w14:textId="58FB9B1E" w:rsidR="00EF1E81" w:rsidRPr="00C05CB6" w:rsidRDefault="00845282" w:rsidP="00EF1E81">
      <w:pPr>
        <w:rPr>
          <w:lang w:val="en-US"/>
        </w:rPr>
      </w:pPr>
      <w:r w:rsidRPr="00C05CB6">
        <w:rPr>
          <w:lang w:val="en-US"/>
        </w:rPr>
        <w:t xml:space="preserve">EEA. 2020. Climate change mitigation policies and measures (greenhouse gas emissions) </w:t>
      </w:r>
      <w:hyperlink r:id="rId10" w:history="1">
        <w:r w:rsidRPr="00C05CB6">
          <w:rPr>
            <w:rStyle w:val="Hyperlink"/>
            <w:lang w:val="en-US"/>
          </w:rPr>
          <w:t>https://www.eea.europa.eu/data-and-maps/data/climate-change-mitigation-policies-and-measures-1</w:t>
        </w:r>
      </w:hyperlink>
    </w:p>
    <w:p w14:paraId="10714CA0" w14:textId="2F80EFAF" w:rsidR="00DF0B01" w:rsidRPr="00C05CB6" w:rsidRDefault="00845282">
      <w:pPr>
        <w:rPr>
          <w:lang w:val="en-US"/>
        </w:rPr>
      </w:pPr>
      <w:r w:rsidRPr="00C05CB6">
        <w:rPr>
          <w:lang w:val="en-US"/>
        </w:rPr>
        <w:t xml:space="preserve">FAO. 2020. Regional analysis of the nationally determined contributions in Latin America: Gaps and opportunities in the agriculture and land use sectors. Environment and natural resources management working paper No. 81. </w:t>
      </w:r>
      <w:hyperlink r:id="rId11" w:history="1">
        <w:r w:rsidRPr="00C05CB6">
          <w:rPr>
            <w:rStyle w:val="Hyperlink"/>
            <w:lang w:val="en-US"/>
          </w:rPr>
          <w:t>http://www.fao.org/publications/card/es/c/CA8249EN/</w:t>
        </w:r>
      </w:hyperlink>
    </w:p>
    <w:p w14:paraId="413F91A0" w14:textId="52979024" w:rsidR="00DF0B01" w:rsidRPr="00C05CB6" w:rsidRDefault="009824D4">
      <w:pPr>
        <w:rPr>
          <w:lang w:val="en-US"/>
        </w:rPr>
      </w:pPr>
      <w:r w:rsidRPr="00C05CB6">
        <w:rPr>
          <w:lang w:val="en-US"/>
        </w:rPr>
        <w:lastRenderedPageBreak/>
        <w:t xml:space="preserve">FAO. 2018. Policy analysis of nationally determined contributions (NDC) in Europe and Central   Asia. Budapest, 84 pp. </w:t>
      </w:r>
      <w:proofErr w:type="spellStart"/>
      <w:r w:rsidRPr="00C05CB6">
        <w:rPr>
          <w:lang w:val="en-US"/>
        </w:rPr>
        <w:t>Licence</w:t>
      </w:r>
      <w:proofErr w:type="spellEnd"/>
      <w:r w:rsidRPr="00C05CB6">
        <w:rPr>
          <w:lang w:val="en-US"/>
        </w:rPr>
        <w:t>: CC BY-NC-SA 3.0</w:t>
      </w:r>
      <w:r w:rsidR="00E94E10" w:rsidRPr="00C05CB6">
        <w:rPr>
          <w:lang w:val="en-US"/>
        </w:rPr>
        <w:t xml:space="preserve"> </w:t>
      </w:r>
      <w:hyperlink r:id="rId12" w:history="1">
        <w:r w:rsidR="005B600A" w:rsidRPr="00C05CB6">
          <w:rPr>
            <w:rStyle w:val="Hyperlink"/>
            <w:lang w:val="en-US"/>
          </w:rPr>
          <w:t>http://www.fao.org/3/CA2684EN/ca2684en.pdf</w:t>
        </w:r>
      </w:hyperlink>
    </w:p>
    <w:p w14:paraId="2BC5A8D3" w14:textId="35358362" w:rsidR="005B600A" w:rsidRPr="00C05CB6" w:rsidRDefault="00FF1624">
      <w:pPr>
        <w:rPr>
          <w:lang w:val="en-US"/>
        </w:rPr>
      </w:pPr>
      <w:r w:rsidRPr="00C05CB6">
        <w:rPr>
          <w:lang w:val="en-US"/>
        </w:rPr>
        <w:t xml:space="preserve">FAO. 2021. </w:t>
      </w:r>
      <w:r w:rsidR="000C0554" w:rsidRPr="00C05CB6">
        <w:rPr>
          <w:lang w:val="en-US"/>
        </w:rPr>
        <w:t>Assessing policy gaps</w:t>
      </w:r>
      <w:r w:rsidR="000C0554">
        <w:rPr>
          <w:lang w:val="en-US"/>
        </w:rPr>
        <w:t xml:space="preserve"> </w:t>
      </w:r>
      <w:r w:rsidR="000C0554" w:rsidRPr="00C05CB6">
        <w:rPr>
          <w:lang w:val="en-US"/>
        </w:rPr>
        <w:t>and opportunities</w:t>
      </w:r>
      <w:r w:rsidR="000C0554">
        <w:rPr>
          <w:lang w:val="en-US"/>
        </w:rPr>
        <w:t xml:space="preserve"> </w:t>
      </w:r>
      <w:r w:rsidR="000C0554" w:rsidRPr="00C05CB6">
        <w:rPr>
          <w:lang w:val="en-US"/>
        </w:rPr>
        <w:t>in the nationally determined contributions</w:t>
      </w:r>
      <w:r w:rsidRPr="00C05CB6">
        <w:rPr>
          <w:lang w:val="en-US"/>
        </w:rPr>
        <w:t xml:space="preserve"> </w:t>
      </w:r>
      <w:r w:rsidR="000C0554" w:rsidRPr="00C05CB6">
        <w:rPr>
          <w:lang w:val="en-US"/>
        </w:rPr>
        <w:t xml:space="preserve">a </w:t>
      </w:r>
      <w:r w:rsidRPr="00C05CB6">
        <w:rPr>
          <w:lang w:val="en-US"/>
        </w:rPr>
        <w:t>sectoral methodology for agriculture and land use</w:t>
      </w:r>
      <w:r w:rsidR="0083665E" w:rsidRPr="00C05CB6">
        <w:rPr>
          <w:lang w:val="en-US"/>
        </w:rPr>
        <w:t xml:space="preserve">. </w:t>
      </w:r>
      <w:hyperlink r:id="rId13" w:history="1">
        <w:r w:rsidR="0083665E" w:rsidRPr="00C05CB6">
          <w:rPr>
            <w:rStyle w:val="Hyperlink"/>
            <w:lang w:val="en-US"/>
          </w:rPr>
          <w:t>http://www.fao.org/3/cb1579en/CB1579EN.pdf</w:t>
        </w:r>
      </w:hyperlink>
    </w:p>
    <w:p w14:paraId="3DAB947C" w14:textId="60FE278F" w:rsidR="005B600A" w:rsidRPr="00C05CB6" w:rsidRDefault="009824D4">
      <w:pPr>
        <w:rPr>
          <w:lang w:val="en-US"/>
        </w:rPr>
      </w:pPr>
      <w:r w:rsidRPr="00C05CB6">
        <w:rPr>
          <w:lang w:val="en-US"/>
        </w:rPr>
        <w:t xml:space="preserve">FAO. 2020. </w:t>
      </w:r>
      <w:r w:rsidR="000C0554" w:rsidRPr="00C05CB6">
        <w:rPr>
          <w:lang w:val="en-US"/>
        </w:rPr>
        <w:t>Regional analysis of the nationally determined</w:t>
      </w:r>
      <w:r w:rsidR="000C0554">
        <w:rPr>
          <w:lang w:val="en-US"/>
        </w:rPr>
        <w:t xml:space="preserve"> </w:t>
      </w:r>
      <w:r w:rsidR="000C0554" w:rsidRPr="00C05CB6">
        <w:rPr>
          <w:lang w:val="en-US"/>
        </w:rPr>
        <w:t xml:space="preserve">contributions in </w:t>
      </w:r>
      <w:r w:rsidR="000C0554">
        <w:rPr>
          <w:lang w:val="en-US"/>
        </w:rPr>
        <w:t>A</w:t>
      </w:r>
      <w:r w:rsidR="000C0554" w:rsidRPr="00C05CB6">
        <w:rPr>
          <w:lang w:val="en-US"/>
        </w:rPr>
        <w:t>sia</w:t>
      </w:r>
      <w:r w:rsidR="000C0554">
        <w:rPr>
          <w:lang w:val="en-US"/>
        </w:rPr>
        <w:t xml:space="preserve">, </w:t>
      </w:r>
      <w:r w:rsidR="000C0554" w:rsidRPr="00C05CB6">
        <w:rPr>
          <w:lang w:val="en-US"/>
        </w:rPr>
        <w:t xml:space="preserve">gaps </w:t>
      </w:r>
      <w:r w:rsidRPr="00C05CB6">
        <w:rPr>
          <w:lang w:val="en-US"/>
        </w:rPr>
        <w:t>and opportunities in the agriculture and land use sectors</w:t>
      </w:r>
      <w:r w:rsidR="000C0554">
        <w:rPr>
          <w:lang w:val="en-US"/>
        </w:rPr>
        <w:t>.</w:t>
      </w:r>
      <w:r w:rsidRPr="00C05CB6">
        <w:rPr>
          <w:lang w:val="en-US"/>
        </w:rPr>
        <w:t xml:space="preserve"> </w:t>
      </w:r>
      <w:hyperlink r:id="rId14" w:history="1">
        <w:r w:rsidR="000C0554" w:rsidRPr="00C05CB6">
          <w:rPr>
            <w:rStyle w:val="Hyperlink"/>
            <w:lang w:val="en-US"/>
          </w:rPr>
          <w:t>http://www.fao.org/3/ca7264en/ca7264en.pdf</w:t>
        </w:r>
      </w:hyperlink>
    </w:p>
    <w:p w14:paraId="079ADA54" w14:textId="126AACFA" w:rsidR="005B600A" w:rsidRPr="00C05CB6" w:rsidRDefault="0083665E">
      <w:pPr>
        <w:rPr>
          <w:lang w:val="en-US"/>
        </w:rPr>
      </w:pPr>
      <w:r w:rsidRPr="00C05CB6">
        <w:rPr>
          <w:lang w:val="en-US"/>
        </w:rPr>
        <w:t xml:space="preserve">McKinsey. 2019. Article “Alternative proteins: The race for market share is on” </w:t>
      </w:r>
      <w:hyperlink r:id="rId15" w:history="1">
        <w:r w:rsidRPr="00C05CB6">
          <w:rPr>
            <w:rStyle w:val="Hyperlink"/>
            <w:lang w:val="en-US"/>
          </w:rPr>
          <w:t>https://www.mckinsey.com/industries/agriculture/our-insights/alternative-proteins-the-race-for-market-share-is-on</w:t>
        </w:r>
      </w:hyperlink>
    </w:p>
    <w:p w14:paraId="1037B361" w14:textId="4AAF2D63" w:rsidR="00E67C82" w:rsidRPr="00C05CB6" w:rsidRDefault="00E94E10">
      <w:pPr>
        <w:rPr>
          <w:lang w:val="en-US"/>
        </w:rPr>
      </w:pPr>
      <w:r w:rsidRPr="00C05CB6">
        <w:rPr>
          <w:lang w:val="en-US"/>
        </w:rPr>
        <w:t xml:space="preserve">FAO 2013. </w:t>
      </w:r>
      <w:r w:rsidR="000C0554" w:rsidRPr="00C05CB6">
        <w:rPr>
          <w:lang w:val="en-US"/>
        </w:rPr>
        <w:t>Mitigation of greenhouse gas emissions in livestock production</w:t>
      </w:r>
      <w:r w:rsidR="000C0554">
        <w:rPr>
          <w:lang w:val="en-US"/>
        </w:rPr>
        <w:t>.</w:t>
      </w:r>
      <w:r w:rsidR="000C0554" w:rsidRPr="00C05CB6">
        <w:rPr>
          <w:lang w:val="en-US"/>
        </w:rPr>
        <w:t xml:space="preserve"> </w:t>
      </w:r>
      <w:hyperlink r:id="rId16" w:history="1">
        <w:r w:rsidR="00E67C82" w:rsidRPr="00C05CB6">
          <w:rPr>
            <w:rStyle w:val="Hyperlink"/>
            <w:lang w:val="en-US"/>
          </w:rPr>
          <w:t>http://www.fao.org/3/i3288e/i3288e.pdf</w:t>
        </w:r>
      </w:hyperlink>
    </w:p>
    <w:p w14:paraId="1C171CED" w14:textId="5046DAFC" w:rsidR="00E67C82" w:rsidRPr="00C05CB6" w:rsidRDefault="0083665E">
      <w:pPr>
        <w:rPr>
          <w:lang w:val="en-US"/>
        </w:rPr>
      </w:pPr>
      <w:r w:rsidRPr="00C05CB6">
        <w:rPr>
          <w:lang w:val="en-US"/>
        </w:rPr>
        <w:t xml:space="preserve">OECD. 2019. Enhancing Climate Change Mitigation through Agriculture </w:t>
      </w:r>
      <w:hyperlink r:id="rId17" w:history="1">
        <w:r w:rsidRPr="00C05CB6">
          <w:rPr>
            <w:rStyle w:val="Hyperlink"/>
            <w:lang w:val="en-US"/>
          </w:rPr>
          <w:t>https://www.oecd-ilibrary.org/agriculture-and-food/enhancing-the-mitigation-of-climate-change-though-agriculture_e9a79226-en</w:t>
        </w:r>
      </w:hyperlink>
    </w:p>
    <w:p w14:paraId="3EF93AFD" w14:textId="5004E37D" w:rsidR="00E67C82" w:rsidRPr="00C05CB6" w:rsidRDefault="0083665E">
      <w:pPr>
        <w:rPr>
          <w:lang w:val="en-US"/>
        </w:rPr>
      </w:pPr>
      <w:r w:rsidRPr="00C05CB6">
        <w:rPr>
          <w:lang w:val="en-US"/>
        </w:rPr>
        <w:t xml:space="preserve">WBG. 2018. Realigning Agricultural Support to Promote Climate-Smart Agriculture </w:t>
      </w:r>
      <w:hyperlink r:id="rId18" w:history="1">
        <w:r w:rsidRPr="00C05CB6">
          <w:rPr>
            <w:rStyle w:val="Hyperlink"/>
            <w:lang w:val="en-US"/>
          </w:rPr>
          <w:t>https://openknowledge.worldbank.org/bitstream/handle/10986/30934/132660-BRI-PUBLIC-RealigningAgriculturalSupportCSA.pdf?sequence=5&amp;isAllowed=y</w:t>
        </w:r>
      </w:hyperlink>
    </w:p>
    <w:p w14:paraId="7B386C31" w14:textId="37110AE9" w:rsidR="00DB706B" w:rsidRPr="0024168F" w:rsidRDefault="00DB706B">
      <w:pPr>
        <w:rPr>
          <w:lang w:val="es-ES"/>
        </w:rPr>
      </w:pPr>
      <w:r w:rsidRPr="0024168F">
        <w:rPr>
          <w:lang w:val="es-ES"/>
        </w:rPr>
        <w:t>GIZ (2014) “Desarrollo de Sistemas Nacionales de Monitoreo y Evaluación de la Adaptación: una Guía”</w:t>
      </w:r>
    </w:p>
    <w:p w14:paraId="23DC6882" w14:textId="4A8D6657" w:rsidR="00DB706B" w:rsidRPr="00C05CB6" w:rsidRDefault="00DB706B" w:rsidP="00DB706B">
      <w:pPr>
        <w:rPr>
          <w:lang w:val="en-US"/>
        </w:rPr>
      </w:pPr>
      <w:r w:rsidRPr="00C05CB6">
        <w:rPr>
          <w:lang w:val="en-US"/>
        </w:rPr>
        <w:t>GIZ, EURAC &amp; UNU-EHS (2018): Climate Risk Assessment for Ecosystem-based Adaptation – A guidebook for planners and practitioners. Bonn: GIZ.</w:t>
      </w:r>
    </w:p>
    <w:p w14:paraId="1BAC6EC4" w14:textId="77777777" w:rsidR="00E94E10" w:rsidRPr="00D84501" w:rsidRDefault="00E94E10">
      <w:pPr>
        <w:rPr>
          <w:b/>
          <w:bCs/>
          <w:u w:val="single"/>
        </w:rPr>
      </w:pPr>
    </w:p>
    <w:sectPr w:rsidR="00E94E10" w:rsidRPr="00D845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E867" w14:textId="77777777" w:rsidR="0077585F" w:rsidRDefault="0077585F" w:rsidP="00DB706B">
      <w:pPr>
        <w:spacing w:after="0" w:line="240" w:lineRule="auto"/>
      </w:pPr>
      <w:r>
        <w:separator/>
      </w:r>
    </w:p>
  </w:endnote>
  <w:endnote w:type="continuationSeparator" w:id="0">
    <w:p w14:paraId="5D7B3A12" w14:textId="77777777" w:rsidR="0077585F" w:rsidRDefault="0077585F" w:rsidP="00DB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ADC7" w14:textId="77777777" w:rsidR="0077585F" w:rsidRDefault="0077585F" w:rsidP="00DB706B">
      <w:pPr>
        <w:spacing w:after="0" w:line="240" w:lineRule="auto"/>
      </w:pPr>
      <w:r>
        <w:separator/>
      </w:r>
    </w:p>
  </w:footnote>
  <w:footnote w:type="continuationSeparator" w:id="0">
    <w:p w14:paraId="41BCB641" w14:textId="77777777" w:rsidR="0077585F" w:rsidRDefault="0077585F" w:rsidP="00DB706B">
      <w:pPr>
        <w:spacing w:after="0" w:line="240" w:lineRule="auto"/>
      </w:pPr>
      <w:r>
        <w:continuationSeparator/>
      </w:r>
    </w:p>
  </w:footnote>
  <w:footnote w:id="1">
    <w:p w14:paraId="6690A19F" w14:textId="77777777" w:rsidR="009D6F72" w:rsidRPr="004146FC" w:rsidRDefault="009D6F72" w:rsidP="009D6F72">
      <w:pPr>
        <w:pStyle w:val="FootnoteText"/>
        <w:rPr>
          <w:lang w:val="en-US"/>
        </w:rPr>
      </w:pPr>
      <w:r>
        <w:rPr>
          <w:rStyle w:val="FootnoteReference"/>
        </w:rPr>
        <w:footnoteRef/>
      </w:r>
      <w:r w:rsidRPr="004146FC">
        <w:rPr>
          <w:lang w:val="en-US"/>
        </w:rPr>
        <w:t xml:space="preserve"> </w:t>
      </w:r>
      <w:r>
        <w:rPr>
          <w:lang w:val="en-US"/>
        </w:rPr>
        <w:t>U</w:t>
      </w:r>
      <w:r w:rsidRPr="00C05CB6">
        <w:rPr>
          <w:lang w:val="en-US"/>
        </w:rPr>
        <w:t>se of agro-ecological, agroforestry</w:t>
      </w:r>
      <w:r>
        <w:rPr>
          <w:lang w:val="en-US"/>
        </w:rPr>
        <w:t>, soil management</w:t>
      </w:r>
      <w:r w:rsidRPr="00C05CB6">
        <w:rPr>
          <w:lang w:val="en-US"/>
        </w:rPr>
        <w:t xml:space="preserve"> and related </w:t>
      </w:r>
      <w:r>
        <w:rPr>
          <w:lang w:val="en-US"/>
        </w:rPr>
        <w:t>indicators.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B22"/>
    <w:multiLevelType w:val="hybridMultilevel"/>
    <w:tmpl w:val="52F4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7CED"/>
    <w:multiLevelType w:val="multilevel"/>
    <w:tmpl w:val="C2061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8F2D71"/>
    <w:multiLevelType w:val="multilevel"/>
    <w:tmpl w:val="212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05B02"/>
    <w:multiLevelType w:val="multilevel"/>
    <w:tmpl w:val="BF3883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C15E94"/>
    <w:multiLevelType w:val="hybridMultilevel"/>
    <w:tmpl w:val="3202D26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15:restartNumberingAfterBreak="0">
    <w:nsid w:val="0DF9296E"/>
    <w:multiLevelType w:val="hybridMultilevel"/>
    <w:tmpl w:val="38EC30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7937B8"/>
    <w:multiLevelType w:val="multilevel"/>
    <w:tmpl w:val="BF3883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411982"/>
    <w:multiLevelType w:val="hybridMultilevel"/>
    <w:tmpl w:val="4A5AC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55BF0"/>
    <w:multiLevelType w:val="multilevel"/>
    <w:tmpl w:val="B9AA51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5435CC"/>
    <w:multiLevelType w:val="hybridMultilevel"/>
    <w:tmpl w:val="0F429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56C7C31"/>
    <w:multiLevelType w:val="multilevel"/>
    <w:tmpl w:val="7F6A8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2C5C22"/>
    <w:multiLevelType w:val="hybridMultilevel"/>
    <w:tmpl w:val="91A4A6E4"/>
    <w:lvl w:ilvl="0" w:tplc="340A0001">
      <w:start w:val="1"/>
      <w:numFmt w:val="bullet"/>
      <w:lvlText w:val=""/>
      <w:lvlJc w:val="left"/>
      <w:pPr>
        <w:ind w:left="720" w:hanging="360"/>
      </w:pPr>
      <w:rPr>
        <w:rFonts w:ascii="Symbol" w:hAnsi="Symbol" w:hint="default"/>
      </w:rPr>
    </w:lvl>
    <w:lvl w:ilvl="1" w:tplc="01FC95B8">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D197240"/>
    <w:multiLevelType w:val="multilevel"/>
    <w:tmpl w:val="A21A5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DE69BA"/>
    <w:multiLevelType w:val="multilevel"/>
    <w:tmpl w:val="A1EC7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96B1F"/>
    <w:multiLevelType w:val="multilevel"/>
    <w:tmpl w:val="A72608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5E25CF"/>
    <w:multiLevelType w:val="multilevel"/>
    <w:tmpl w:val="457AD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D5030D"/>
    <w:multiLevelType w:val="hybridMultilevel"/>
    <w:tmpl w:val="BB3C5B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E14DF6"/>
    <w:multiLevelType w:val="multilevel"/>
    <w:tmpl w:val="4D24A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765811"/>
    <w:multiLevelType w:val="multilevel"/>
    <w:tmpl w:val="BF884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6A76EBE"/>
    <w:multiLevelType w:val="hybridMultilevel"/>
    <w:tmpl w:val="8D9AE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B1976BB"/>
    <w:multiLevelType w:val="multilevel"/>
    <w:tmpl w:val="89480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8C1838"/>
    <w:multiLevelType w:val="multilevel"/>
    <w:tmpl w:val="AE5C8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C0A0F52"/>
    <w:multiLevelType w:val="multilevel"/>
    <w:tmpl w:val="BF3883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EA87F57"/>
    <w:multiLevelType w:val="multilevel"/>
    <w:tmpl w:val="EDCEA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0FB24C4"/>
    <w:multiLevelType w:val="hybridMultilevel"/>
    <w:tmpl w:val="675EED80"/>
    <w:lvl w:ilvl="0" w:tplc="809205C4">
      <w:start w:val="1"/>
      <w:numFmt w:val="bullet"/>
      <w:lvlText w:val="˃"/>
      <w:lvlJc w:val="left"/>
      <w:pPr>
        <w:ind w:left="360" w:hanging="360"/>
      </w:pPr>
      <w:rPr>
        <w:rFonts w:ascii="Courier New" w:hAnsi="Courier New" w:hint="default"/>
        <w:b/>
        <w:i w:val="0"/>
        <w:color w:val="auto"/>
        <w:sz w:val="16"/>
      </w:rPr>
    </w:lvl>
    <w:lvl w:ilvl="1" w:tplc="340A0003" w:tentative="1">
      <w:start w:val="1"/>
      <w:numFmt w:val="bullet"/>
      <w:lvlText w:val="o"/>
      <w:lvlJc w:val="left"/>
      <w:pPr>
        <w:ind w:left="360" w:hanging="360"/>
      </w:pPr>
      <w:rPr>
        <w:rFonts w:ascii="Courier New" w:hAnsi="Courier New" w:cs="Courier New" w:hint="default"/>
      </w:rPr>
    </w:lvl>
    <w:lvl w:ilvl="2" w:tplc="340A0005" w:tentative="1">
      <w:start w:val="1"/>
      <w:numFmt w:val="bullet"/>
      <w:lvlText w:val=""/>
      <w:lvlJc w:val="left"/>
      <w:pPr>
        <w:ind w:left="1080" w:hanging="360"/>
      </w:pPr>
      <w:rPr>
        <w:rFonts w:ascii="Wingdings" w:hAnsi="Wingdings" w:hint="default"/>
      </w:rPr>
    </w:lvl>
    <w:lvl w:ilvl="3" w:tplc="340A0001" w:tentative="1">
      <w:start w:val="1"/>
      <w:numFmt w:val="bullet"/>
      <w:lvlText w:val=""/>
      <w:lvlJc w:val="left"/>
      <w:pPr>
        <w:ind w:left="1800" w:hanging="360"/>
      </w:pPr>
      <w:rPr>
        <w:rFonts w:ascii="Symbol" w:hAnsi="Symbol" w:hint="default"/>
      </w:rPr>
    </w:lvl>
    <w:lvl w:ilvl="4" w:tplc="340A0003" w:tentative="1">
      <w:start w:val="1"/>
      <w:numFmt w:val="bullet"/>
      <w:lvlText w:val="o"/>
      <w:lvlJc w:val="left"/>
      <w:pPr>
        <w:ind w:left="2520" w:hanging="360"/>
      </w:pPr>
      <w:rPr>
        <w:rFonts w:ascii="Courier New" w:hAnsi="Courier New" w:cs="Courier New" w:hint="default"/>
      </w:rPr>
    </w:lvl>
    <w:lvl w:ilvl="5" w:tplc="340A0005" w:tentative="1">
      <w:start w:val="1"/>
      <w:numFmt w:val="bullet"/>
      <w:lvlText w:val=""/>
      <w:lvlJc w:val="left"/>
      <w:pPr>
        <w:ind w:left="3240" w:hanging="360"/>
      </w:pPr>
      <w:rPr>
        <w:rFonts w:ascii="Wingdings" w:hAnsi="Wingdings" w:hint="default"/>
      </w:rPr>
    </w:lvl>
    <w:lvl w:ilvl="6" w:tplc="340A0001" w:tentative="1">
      <w:start w:val="1"/>
      <w:numFmt w:val="bullet"/>
      <w:lvlText w:val=""/>
      <w:lvlJc w:val="left"/>
      <w:pPr>
        <w:ind w:left="3960" w:hanging="360"/>
      </w:pPr>
      <w:rPr>
        <w:rFonts w:ascii="Symbol" w:hAnsi="Symbol" w:hint="default"/>
      </w:rPr>
    </w:lvl>
    <w:lvl w:ilvl="7" w:tplc="340A0003" w:tentative="1">
      <w:start w:val="1"/>
      <w:numFmt w:val="bullet"/>
      <w:lvlText w:val="o"/>
      <w:lvlJc w:val="left"/>
      <w:pPr>
        <w:ind w:left="4680" w:hanging="360"/>
      </w:pPr>
      <w:rPr>
        <w:rFonts w:ascii="Courier New" w:hAnsi="Courier New" w:cs="Courier New" w:hint="default"/>
      </w:rPr>
    </w:lvl>
    <w:lvl w:ilvl="8" w:tplc="340A0005" w:tentative="1">
      <w:start w:val="1"/>
      <w:numFmt w:val="bullet"/>
      <w:lvlText w:val=""/>
      <w:lvlJc w:val="left"/>
      <w:pPr>
        <w:ind w:left="5400" w:hanging="360"/>
      </w:pPr>
      <w:rPr>
        <w:rFonts w:ascii="Wingdings" w:hAnsi="Wingdings" w:hint="default"/>
      </w:rPr>
    </w:lvl>
  </w:abstractNum>
  <w:abstractNum w:abstractNumId="25" w15:restartNumberingAfterBreak="0">
    <w:nsid w:val="43DD29B8"/>
    <w:multiLevelType w:val="multilevel"/>
    <w:tmpl w:val="6AC80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5E5A51"/>
    <w:multiLevelType w:val="multilevel"/>
    <w:tmpl w:val="5616F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8F3642E"/>
    <w:multiLevelType w:val="hybridMultilevel"/>
    <w:tmpl w:val="FA0E90CE"/>
    <w:lvl w:ilvl="0" w:tplc="340A0001">
      <w:start w:val="1"/>
      <w:numFmt w:val="bullet"/>
      <w:lvlText w:val=""/>
      <w:lvlJc w:val="left"/>
      <w:pPr>
        <w:ind w:left="720" w:hanging="360"/>
      </w:pPr>
      <w:rPr>
        <w:rFonts w:ascii="Symbol" w:hAnsi="Symbol" w:hint="default"/>
      </w:rPr>
    </w:lvl>
    <w:lvl w:ilvl="1" w:tplc="6E309B54">
      <w:start w:val="1"/>
      <w:numFmt w:val="bullet"/>
      <w:lvlText w:val="˃"/>
      <w:lvlJc w:val="left"/>
      <w:pPr>
        <w:ind w:left="1440" w:hanging="360"/>
      </w:pPr>
      <w:rPr>
        <w:rFonts w:ascii="Courier New" w:hAnsi="Courier New" w:hint="default"/>
        <w:b/>
        <w:i w:val="0"/>
        <w:color w:val="auto"/>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B262DBE"/>
    <w:multiLevelType w:val="hybridMultilevel"/>
    <w:tmpl w:val="578C32EA"/>
    <w:lvl w:ilvl="0" w:tplc="4D307F7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B6B1305"/>
    <w:multiLevelType w:val="hybridMultilevel"/>
    <w:tmpl w:val="CA4C62E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DFE51D6"/>
    <w:multiLevelType w:val="hybridMultilevel"/>
    <w:tmpl w:val="9396455E"/>
    <w:lvl w:ilvl="0" w:tplc="340A0001">
      <w:start w:val="1"/>
      <w:numFmt w:val="bullet"/>
      <w:lvlText w:val=""/>
      <w:lvlJc w:val="left"/>
      <w:pPr>
        <w:ind w:left="720" w:hanging="360"/>
      </w:pPr>
      <w:rPr>
        <w:rFonts w:ascii="Symbol" w:hAnsi="Symbol" w:hint="default"/>
      </w:rPr>
    </w:lvl>
    <w:lvl w:ilvl="1" w:tplc="809205C4">
      <w:start w:val="1"/>
      <w:numFmt w:val="bullet"/>
      <w:lvlText w:val="˃"/>
      <w:lvlJc w:val="left"/>
      <w:pPr>
        <w:ind w:left="1440" w:hanging="360"/>
      </w:pPr>
      <w:rPr>
        <w:rFonts w:ascii="Courier New" w:hAnsi="Courier New" w:hint="default"/>
        <w:b/>
        <w:i w:val="0"/>
        <w:color w:val="auto"/>
        <w:sz w:val="16"/>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0FB66B2"/>
    <w:multiLevelType w:val="multilevel"/>
    <w:tmpl w:val="066CD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41B51D1"/>
    <w:multiLevelType w:val="multilevel"/>
    <w:tmpl w:val="1A2EC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8C767E"/>
    <w:multiLevelType w:val="multilevel"/>
    <w:tmpl w:val="3C32A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A273F8"/>
    <w:multiLevelType w:val="hybridMultilevel"/>
    <w:tmpl w:val="F53491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6463F1"/>
    <w:multiLevelType w:val="multilevel"/>
    <w:tmpl w:val="BF3883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3B6CEB"/>
    <w:multiLevelType w:val="multilevel"/>
    <w:tmpl w:val="92E03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FFE2549"/>
    <w:multiLevelType w:val="multilevel"/>
    <w:tmpl w:val="57E0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0A364DD"/>
    <w:multiLevelType w:val="hybridMultilevel"/>
    <w:tmpl w:val="085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D72B9"/>
    <w:multiLevelType w:val="hybridMultilevel"/>
    <w:tmpl w:val="CD0618E0"/>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7831423A"/>
    <w:multiLevelType w:val="hybridMultilevel"/>
    <w:tmpl w:val="EF06538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F0E1645"/>
    <w:multiLevelType w:val="hybridMultilevel"/>
    <w:tmpl w:val="1AE89CD6"/>
    <w:lvl w:ilvl="0" w:tplc="340A0001">
      <w:start w:val="1"/>
      <w:numFmt w:val="bullet"/>
      <w:lvlText w:val=""/>
      <w:lvlJc w:val="left"/>
      <w:pPr>
        <w:ind w:left="720" w:hanging="360"/>
      </w:pPr>
      <w:rPr>
        <w:rFonts w:ascii="Symbol" w:hAnsi="Symbol" w:hint="default"/>
        <w:b/>
        <w:i w:val="0"/>
        <w:color w:val="auto"/>
        <w:sz w:val="16"/>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num w:numId="1">
    <w:abstractNumId w:val="29"/>
  </w:num>
  <w:num w:numId="2">
    <w:abstractNumId w:val="11"/>
  </w:num>
  <w:num w:numId="3">
    <w:abstractNumId w:val="27"/>
  </w:num>
  <w:num w:numId="4">
    <w:abstractNumId w:val="30"/>
  </w:num>
  <w:num w:numId="5">
    <w:abstractNumId w:val="24"/>
  </w:num>
  <w:num w:numId="6">
    <w:abstractNumId w:val="41"/>
  </w:num>
  <w:num w:numId="7">
    <w:abstractNumId w:val="0"/>
  </w:num>
  <w:num w:numId="8">
    <w:abstractNumId w:val="7"/>
  </w:num>
  <w:num w:numId="9">
    <w:abstractNumId w:val="38"/>
  </w:num>
  <w:num w:numId="10">
    <w:abstractNumId w:val="2"/>
  </w:num>
  <w:num w:numId="11">
    <w:abstractNumId w:val="40"/>
  </w:num>
  <w:num w:numId="12">
    <w:abstractNumId w:val="19"/>
  </w:num>
  <w:num w:numId="13">
    <w:abstractNumId w:val="34"/>
  </w:num>
  <w:num w:numId="14">
    <w:abstractNumId w:val="12"/>
  </w:num>
  <w:num w:numId="15">
    <w:abstractNumId w:val="25"/>
  </w:num>
  <w:num w:numId="16">
    <w:abstractNumId w:val="15"/>
  </w:num>
  <w:num w:numId="17">
    <w:abstractNumId w:val="6"/>
  </w:num>
  <w:num w:numId="18">
    <w:abstractNumId w:val="3"/>
  </w:num>
  <w:num w:numId="19">
    <w:abstractNumId w:val="31"/>
  </w:num>
  <w:num w:numId="20">
    <w:abstractNumId w:val="14"/>
  </w:num>
  <w:num w:numId="21">
    <w:abstractNumId w:val="22"/>
  </w:num>
  <w:num w:numId="22">
    <w:abstractNumId w:val="8"/>
  </w:num>
  <w:num w:numId="23">
    <w:abstractNumId w:val="35"/>
  </w:num>
  <w:num w:numId="24">
    <w:abstractNumId w:val="1"/>
  </w:num>
  <w:num w:numId="25">
    <w:abstractNumId w:val="36"/>
  </w:num>
  <w:num w:numId="26">
    <w:abstractNumId w:val="33"/>
  </w:num>
  <w:num w:numId="27">
    <w:abstractNumId w:val="23"/>
  </w:num>
  <w:num w:numId="28">
    <w:abstractNumId w:val="10"/>
  </w:num>
  <w:num w:numId="29">
    <w:abstractNumId w:val="26"/>
  </w:num>
  <w:num w:numId="30">
    <w:abstractNumId w:val="17"/>
  </w:num>
  <w:num w:numId="31">
    <w:abstractNumId w:val="37"/>
  </w:num>
  <w:num w:numId="32">
    <w:abstractNumId w:val="18"/>
  </w:num>
  <w:num w:numId="33">
    <w:abstractNumId w:val="13"/>
  </w:num>
  <w:num w:numId="34">
    <w:abstractNumId w:val="20"/>
  </w:num>
  <w:num w:numId="35">
    <w:abstractNumId w:val="32"/>
  </w:num>
  <w:num w:numId="36">
    <w:abstractNumId w:val="39"/>
  </w:num>
  <w:num w:numId="37">
    <w:abstractNumId w:val="21"/>
  </w:num>
  <w:num w:numId="38">
    <w:abstractNumId w:val="5"/>
  </w:num>
  <w:num w:numId="39">
    <w:abstractNumId w:val="28"/>
  </w:num>
  <w:num w:numId="40">
    <w:abstractNumId w:val="9"/>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6" w:nlCheck="1" w:checkStyle="0"/>
  <w:activeWritingStyle w:appName="MSWord" w:lang="en-US" w:vendorID="64" w:dllVersion="6" w:nlCheck="1" w:checkStyle="1"/>
  <w:activeWritingStyle w:appName="MSWord" w:lang="es-CL" w:vendorID="64" w:dllVersion="6" w:nlCheck="1" w:checkStyle="0"/>
  <w:activeWritingStyle w:appName="MSWord" w:lang="en-GB" w:vendorID="64" w:dllVersion="6" w:nlCheck="1" w:checkStyle="1"/>
  <w:activeWritingStyle w:appName="MSWord" w:lang="en-US" w:vendorID="64" w:dllVersion="0" w:nlCheck="1" w:checkStyle="0"/>
  <w:activeWritingStyle w:appName="MSWord" w:lang="es-CL"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FD"/>
    <w:rsid w:val="00017AC4"/>
    <w:rsid w:val="000A7150"/>
    <w:rsid w:val="000B3694"/>
    <w:rsid w:val="000B4D8D"/>
    <w:rsid w:val="000B5E65"/>
    <w:rsid w:val="000C0554"/>
    <w:rsid w:val="000C2128"/>
    <w:rsid w:val="000D2FE6"/>
    <w:rsid w:val="000E04FD"/>
    <w:rsid w:val="000E6E6F"/>
    <w:rsid w:val="000F16C4"/>
    <w:rsid w:val="00106E1C"/>
    <w:rsid w:val="00107251"/>
    <w:rsid w:val="00120DBF"/>
    <w:rsid w:val="0013113E"/>
    <w:rsid w:val="00186BA1"/>
    <w:rsid w:val="001C3105"/>
    <w:rsid w:val="001C3E16"/>
    <w:rsid w:val="00206169"/>
    <w:rsid w:val="00224EAB"/>
    <w:rsid w:val="00232DC9"/>
    <w:rsid w:val="0024168F"/>
    <w:rsid w:val="00290C80"/>
    <w:rsid w:val="002D34D6"/>
    <w:rsid w:val="002E5D2F"/>
    <w:rsid w:val="0033372F"/>
    <w:rsid w:val="00340772"/>
    <w:rsid w:val="003529BC"/>
    <w:rsid w:val="003A3D99"/>
    <w:rsid w:val="003D63B0"/>
    <w:rsid w:val="003E53FB"/>
    <w:rsid w:val="003F2B9F"/>
    <w:rsid w:val="004051A6"/>
    <w:rsid w:val="00432326"/>
    <w:rsid w:val="004374B1"/>
    <w:rsid w:val="00444297"/>
    <w:rsid w:val="0046554D"/>
    <w:rsid w:val="004F4507"/>
    <w:rsid w:val="00500A60"/>
    <w:rsid w:val="00504BD6"/>
    <w:rsid w:val="0050637C"/>
    <w:rsid w:val="00510666"/>
    <w:rsid w:val="00547665"/>
    <w:rsid w:val="005619D7"/>
    <w:rsid w:val="00562B92"/>
    <w:rsid w:val="00591797"/>
    <w:rsid w:val="00595C67"/>
    <w:rsid w:val="005B600A"/>
    <w:rsid w:val="005C1EC9"/>
    <w:rsid w:val="005C4AB9"/>
    <w:rsid w:val="005F0D2A"/>
    <w:rsid w:val="00606C08"/>
    <w:rsid w:val="00606F8D"/>
    <w:rsid w:val="00660069"/>
    <w:rsid w:val="006722B0"/>
    <w:rsid w:val="00677E7B"/>
    <w:rsid w:val="006C47DB"/>
    <w:rsid w:val="006F2DA0"/>
    <w:rsid w:val="007363B2"/>
    <w:rsid w:val="0077585F"/>
    <w:rsid w:val="00787D25"/>
    <w:rsid w:val="007B0131"/>
    <w:rsid w:val="007B7ABF"/>
    <w:rsid w:val="007C0E61"/>
    <w:rsid w:val="00810F26"/>
    <w:rsid w:val="0083665E"/>
    <w:rsid w:val="00845282"/>
    <w:rsid w:val="00893A73"/>
    <w:rsid w:val="008A05D2"/>
    <w:rsid w:val="008C7B9A"/>
    <w:rsid w:val="00920962"/>
    <w:rsid w:val="00961040"/>
    <w:rsid w:val="009824D4"/>
    <w:rsid w:val="009C0461"/>
    <w:rsid w:val="009D6F72"/>
    <w:rsid w:val="00AB1422"/>
    <w:rsid w:val="00B07302"/>
    <w:rsid w:val="00B363A7"/>
    <w:rsid w:val="00B377B9"/>
    <w:rsid w:val="00B57098"/>
    <w:rsid w:val="00B61E94"/>
    <w:rsid w:val="00B92A76"/>
    <w:rsid w:val="00BA1147"/>
    <w:rsid w:val="00BF4855"/>
    <w:rsid w:val="00C05CB6"/>
    <w:rsid w:val="00C1257E"/>
    <w:rsid w:val="00C37EC5"/>
    <w:rsid w:val="00C60359"/>
    <w:rsid w:val="00CB5830"/>
    <w:rsid w:val="00CC449A"/>
    <w:rsid w:val="00CD6825"/>
    <w:rsid w:val="00CE433F"/>
    <w:rsid w:val="00CF3A91"/>
    <w:rsid w:val="00CF7EBA"/>
    <w:rsid w:val="00D01BD7"/>
    <w:rsid w:val="00D0535C"/>
    <w:rsid w:val="00D14722"/>
    <w:rsid w:val="00D409B8"/>
    <w:rsid w:val="00D51752"/>
    <w:rsid w:val="00D84501"/>
    <w:rsid w:val="00D9523D"/>
    <w:rsid w:val="00DA6447"/>
    <w:rsid w:val="00DB706B"/>
    <w:rsid w:val="00DD2136"/>
    <w:rsid w:val="00DE2AD7"/>
    <w:rsid w:val="00DF0B01"/>
    <w:rsid w:val="00DF3CF1"/>
    <w:rsid w:val="00E06023"/>
    <w:rsid w:val="00E51359"/>
    <w:rsid w:val="00E67C82"/>
    <w:rsid w:val="00E8792E"/>
    <w:rsid w:val="00E94E10"/>
    <w:rsid w:val="00EE00F1"/>
    <w:rsid w:val="00EF1E81"/>
    <w:rsid w:val="00EF2836"/>
    <w:rsid w:val="00F76B04"/>
    <w:rsid w:val="00F85F7D"/>
    <w:rsid w:val="00F90CD9"/>
    <w:rsid w:val="00FA4B56"/>
    <w:rsid w:val="00FB2068"/>
    <w:rsid w:val="00FB3612"/>
    <w:rsid w:val="00FF04A8"/>
    <w:rsid w:val="00FF16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A70A"/>
  <w15:chartTrackingRefBased/>
  <w15:docId w15:val="{BB725536-9635-460D-99E2-0E422DF8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B01"/>
    <w:rPr>
      <w:color w:val="0563C1" w:themeColor="hyperlink"/>
      <w:u w:val="single"/>
    </w:rPr>
  </w:style>
  <w:style w:type="character" w:customStyle="1" w:styleId="Mencinsinresolver1">
    <w:name w:val="Mención sin resolver1"/>
    <w:basedOn w:val="DefaultParagraphFont"/>
    <w:uiPriority w:val="99"/>
    <w:semiHidden/>
    <w:unhideWhenUsed/>
    <w:rsid w:val="00DF0B01"/>
    <w:rPr>
      <w:color w:val="605E5C"/>
      <w:shd w:val="clear" w:color="auto" w:fill="E1DFDD"/>
    </w:rPr>
  </w:style>
  <w:style w:type="paragraph" w:styleId="BalloonText">
    <w:name w:val="Balloon Text"/>
    <w:basedOn w:val="Normal"/>
    <w:link w:val="BalloonTextChar"/>
    <w:uiPriority w:val="99"/>
    <w:semiHidden/>
    <w:unhideWhenUsed/>
    <w:rsid w:val="00591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97"/>
    <w:rPr>
      <w:rFonts w:ascii="Segoe UI" w:hAnsi="Segoe UI" w:cs="Segoe UI"/>
      <w:sz w:val="18"/>
      <w:szCs w:val="18"/>
    </w:rPr>
  </w:style>
  <w:style w:type="paragraph" w:styleId="ListParagraph">
    <w:name w:val="List Paragraph"/>
    <w:basedOn w:val="Normal"/>
    <w:uiPriority w:val="34"/>
    <w:qFormat/>
    <w:rsid w:val="00D51752"/>
    <w:pPr>
      <w:ind w:left="720"/>
      <w:contextualSpacing/>
    </w:pPr>
  </w:style>
  <w:style w:type="character" w:styleId="CommentReference">
    <w:name w:val="annotation reference"/>
    <w:basedOn w:val="DefaultParagraphFont"/>
    <w:uiPriority w:val="99"/>
    <w:semiHidden/>
    <w:unhideWhenUsed/>
    <w:rsid w:val="007363B2"/>
    <w:rPr>
      <w:sz w:val="16"/>
      <w:szCs w:val="16"/>
    </w:rPr>
  </w:style>
  <w:style w:type="paragraph" w:styleId="CommentText">
    <w:name w:val="annotation text"/>
    <w:basedOn w:val="Normal"/>
    <w:link w:val="CommentTextChar"/>
    <w:uiPriority w:val="99"/>
    <w:semiHidden/>
    <w:unhideWhenUsed/>
    <w:rsid w:val="007363B2"/>
    <w:pPr>
      <w:spacing w:line="240" w:lineRule="auto"/>
    </w:pPr>
    <w:rPr>
      <w:sz w:val="20"/>
      <w:szCs w:val="20"/>
    </w:rPr>
  </w:style>
  <w:style w:type="character" w:customStyle="1" w:styleId="CommentTextChar">
    <w:name w:val="Comment Text Char"/>
    <w:basedOn w:val="DefaultParagraphFont"/>
    <w:link w:val="CommentText"/>
    <w:uiPriority w:val="99"/>
    <w:semiHidden/>
    <w:rsid w:val="007363B2"/>
    <w:rPr>
      <w:sz w:val="20"/>
      <w:szCs w:val="20"/>
    </w:rPr>
  </w:style>
  <w:style w:type="paragraph" w:styleId="CommentSubject">
    <w:name w:val="annotation subject"/>
    <w:basedOn w:val="CommentText"/>
    <w:next w:val="CommentText"/>
    <w:link w:val="CommentSubjectChar"/>
    <w:uiPriority w:val="99"/>
    <w:semiHidden/>
    <w:unhideWhenUsed/>
    <w:rsid w:val="007363B2"/>
    <w:rPr>
      <w:b/>
      <w:bCs/>
    </w:rPr>
  </w:style>
  <w:style w:type="character" w:customStyle="1" w:styleId="CommentSubjectChar">
    <w:name w:val="Comment Subject Char"/>
    <w:basedOn w:val="CommentTextChar"/>
    <w:link w:val="CommentSubject"/>
    <w:uiPriority w:val="99"/>
    <w:semiHidden/>
    <w:rsid w:val="007363B2"/>
    <w:rPr>
      <w:b/>
      <w:bCs/>
      <w:sz w:val="20"/>
      <w:szCs w:val="20"/>
    </w:rPr>
  </w:style>
  <w:style w:type="character" w:styleId="FollowedHyperlink">
    <w:name w:val="FollowedHyperlink"/>
    <w:basedOn w:val="DefaultParagraphFont"/>
    <w:uiPriority w:val="99"/>
    <w:semiHidden/>
    <w:unhideWhenUsed/>
    <w:rsid w:val="00FF1624"/>
    <w:rPr>
      <w:color w:val="954F72" w:themeColor="followedHyperlink"/>
      <w:u w:val="single"/>
    </w:rPr>
  </w:style>
  <w:style w:type="character" w:customStyle="1" w:styleId="Mencinsinresolver2">
    <w:name w:val="Mención sin resolver2"/>
    <w:basedOn w:val="DefaultParagraphFont"/>
    <w:uiPriority w:val="99"/>
    <w:semiHidden/>
    <w:unhideWhenUsed/>
    <w:rsid w:val="00E94E10"/>
    <w:rPr>
      <w:color w:val="605E5C"/>
      <w:shd w:val="clear" w:color="auto" w:fill="E1DFDD"/>
    </w:rPr>
  </w:style>
  <w:style w:type="paragraph" w:styleId="FootnoteText">
    <w:name w:val="footnote text"/>
    <w:basedOn w:val="Normal"/>
    <w:link w:val="FootnoteTextChar"/>
    <w:uiPriority w:val="99"/>
    <w:semiHidden/>
    <w:unhideWhenUsed/>
    <w:rsid w:val="00DB7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06B"/>
    <w:rPr>
      <w:sz w:val="20"/>
      <w:szCs w:val="20"/>
    </w:rPr>
  </w:style>
  <w:style w:type="character" w:styleId="FootnoteReference">
    <w:name w:val="footnote reference"/>
    <w:basedOn w:val="DefaultParagraphFont"/>
    <w:uiPriority w:val="99"/>
    <w:semiHidden/>
    <w:unhideWhenUsed/>
    <w:rsid w:val="00DB706B"/>
    <w:rPr>
      <w:vertAlign w:val="superscript"/>
    </w:rPr>
  </w:style>
  <w:style w:type="paragraph" w:styleId="Revision">
    <w:name w:val="Revision"/>
    <w:hidden/>
    <w:uiPriority w:val="99"/>
    <w:semiHidden/>
    <w:rsid w:val="00C0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595">
      <w:bodyDiv w:val="1"/>
      <w:marLeft w:val="0"/>
      <w:marRight w:val="0"/>
      <w:marTop w:val="0"/>
      <w:marBottom w:val="0"/>
      <w:divBdr>
        <w:top w:val="none" w:sz="0" w:space="0" w:color="auto"/>
        <w:left w:val="none" w:sz="0" w:space="0" w:color="auto"/>
        <w:bottom w:val="none" w:sz="0" w:space="0" w:color="auto"/>
        <w:right w:val="none" w:sz="0" w:space="0" w:color="auto"/>
      </w:divBdr>
    </w:div>
    <w:div w:id="224148586">
      <w:bodyDiv w:val="1"/>
      <w:marLeft w:val="0"/>
      <w:marRight w:val="0"/>
      <w:marTop w:val="0"/>
      <w:marBottom w:val="0"/>
      <w:divBdr>
        <w:top w:val="none" w:sz="0" w:space="0" w:color="auto"/>
        <w:left w:val="none" w:sz="0" w:space="0" w:color="auto"/>
        <w:bottom w:val="none" w:sz="0" w:space="0" w:color="auto"/>
        <w:right w:val="none" w:sz="0" w:space="0" w:color="auto"/>
      </w:divBdr>
      <w:divsChild>
        <w:div w:id="1501969352">
          <w:marLeft w:val="0"/>
          <w:marRight w:val="0"/>
          <w:marTop w:val="0"/>
          <w:marBottom w:val="0"/>
          <w:divBdr>
            <w:top w:val="none" w:sz="0" w:space="0" w:color="auto"/>
            <w:left w:val="none" w:sz="0" w:space="0" w:color="auto"/>
            <w:bottom w:val="none" w:sz="0" w:space="0" w:color="auto"/>
            <w:right w:val="none" w:sz="0" w:space="0" w:color="auto"/>
          </w:divBdr>
          <w:divsChild>
            <w:div w:id="483349996">
              <w:marLeft w:val="0"/>
              <w:marRight w:val="0"/>
              <w:marTop w:val="0"/>
              <w:marBottom w:val="0"/>
              <w:divBdr>
                <w:top w:val="none" w:sz="0" w:space="0" w:color="auto"/>
                <w:left w:val="none" w:sz="0" w:space="0" w:color="auto"/>
                <w:bottom w:val="none" w:sz="0" w:space="0" w:color="auto"/>
                <w:right w:val="none" w:sz="0" w:space="0" w:color="auto"/>
              </w:divBdr>
              <w:divsChild>
                <w:div w:id="1704549547">
                  <w:marLeft w:val="0"/>
                  <w:marRight w:val="0"/>
                  <w:marTop w:val="0"/>
                  <w:marBottom w:val="0"/>
                  <w:divBdr>
                    <w:top w:val="none" w:sz="0" w:space="0" w:color="auto"/>
                    <w:left w:val="none" w:sz="0" w:space="0" w:color="auto"/>
                    <w:bottom w:val="none" w:sz="0" w:space="0" w:color="auto"/>
                    <w:right w:val="none" w:sz="0" w:space="0" w:color="auto"/>
                  </w:divBdr>
                  <w:divsChild>
                    <w:div w:id="392116921">
                      <w:marLeft w:val="0"/>
                      <w:marRight w:val="0"/>
                      <w:marTop w:val="0"/>
                      <w:marBottom w:val="0"/>
                      <w:divBdr>
                        <w:top w:val="none" w:sz="0" w:space="0" w:color="auto"/>
                        <w:left w:val="none" w:sz="0" w:space="0" w:color="auto"/>
                        <w:bottom w:val="none" w:sz="0" w:space="0" w:color="auto"/>
                        <w:right w:val="none" w:sz="0" w:space="0" w:color="auto"/>
                      </w:divBdr>
                      <w:divsChild>
                        <w:div w:id="516425519">
                          <w:marLeft w:val="0"/>
                          <w:marRight w:val="0"/>
                          <w:marTop w:val="0"/>
                          <w:marBottom w:val="0"/>
                          <w:divBdr>
                            <w:top w:val="none" w:sz="0" w:space="0" w:color="auto"/>
                            <w:left w:val="none" w:sz="0" w:space="0" w:color="auto"/>
                            <w:bottom w:val="none" w:sz="0" w:space="0" w:color="auto"/>
                            <w:right w:val="none" w:sz="0" w:space="0" w:color="auto"/>
                          </w:divBdr>
                          <w:divsChild>
                            <w:div w:id="1793940470">
                              <w:marLeft w:val="0"/>
                              <w:marRight w:val="0"/>
                              <w:marTop w:val="0"/>
                              <w:marBottom w:val="0"/>
                              <w:divBdr>
                                <w:top w:val="none" w:sz="0" w:space="0" w:color="auto"/>
                                <w:left w:val="none" w:sz="0" w:space="0" w:color="auto"/>
                                <w:bottom w:val="none" w:sz="0" w:space="0" w:color="auto"/>
                                <w:right w:val="none" w:sz="0" w:space="0" w:color="auto"/>
                              </w:divBdr>
                              <w:divsChild>
                                <w:div w:id="156115890">
                                  <w:marLeft w:val="0"/>
                                  <w:marRight w:val="0"/>
                                  <w:marTop w:val="0"/>
                                  <w:marBottom w:val="0"/>
                                  <w:divBdr>
                                    <w:top w:val="none" w:sz="0" w:space="0" w:color="auto"/>
                                    <w:left w:val="none" w:sz="0" w:space="0" w:color="auto"/>
                                    <w:bottom w:val="none" w:sz="0" w:space="0" w:color="auto"/>
                                    <w:right w:val="none" w:sz="0" w:space="0" w:color="auto"/>
                                  </w:divBdr>
                                  <w:divsChild>
                                    <w:div w:id="1677079259">
                                      <w:marLeft w:val="0"/>
                                      <w:marRight w:val="0"/>
                                      <w:marTop w:val="0"/>
                                      <w:marBottom w:val="0"/>
                                      <w:divBdr>
                                        <w:top w:val="none" w:sz="0" w:space="0" w:color="auto"/>
                                        <w:left w:val="none" w:sz="0" w:space="0" w:color="auto"/>
                                        <w:bottom w:val="none" w:sz="0" w:space="0" w:color="auto"/>
                                        <w:right w:val="none" w:sz="0" w:space="0" w:color="auto"/>
                                      </w:divBdr>
                                      <w:divsChild>
                                        <w:div w:id="905266297">
                                          <w:marLeft w:val="0"/>
                                          <w:marRight w:val="0"/>
                                          <w:marTop w:val="0"/>
                                          <w:marBottom w:val="0"/>
                                          <w:divBdr>
                                            <w:top w:val="none" w:sz="0" w:space="0" w:color="auto"/>
                                            <w:left w:val="none" w:sz="0" w:space="0" w:color="auto"/>
                                            <w:bottom w:val="none" w:sz="0" w:space="0" w:color="auto"/>
                                            <w:right w:val="none" w:sz="0" w:space="0" w:color="auto"/>
                                          </w:divBdr>
                                          <w:divsChild>
                                            <w:div w:id="1950047527">
                                              <w:marLeft w:val="0"/>
                                              <w:marRight w:val="0"/>
                                              <w:marTop w:val="0"/>
                                              <w:marBottom w:val="0"/>
                                              <w:divBdr>
                                                <w:top w:val="none" w:sz="0" w:space="0" w:color="auto"/>
                                                <w:left w:val="none" w:sz="0" w:space="0" w:color="auto"/>
                                                <w:bottom w:val="none" w:sz="0" w:space="0" w:color="auto"/>
                                                <w:right w:val="none" w:sz="0" w:space="0" w:color="auto"/>
                                              </w:divBdr>
                                              <w:divsChild>
                                                <w:div w:id="145899824">
                                                  <w:marLeft w:val="0"/>
                                                  <w:marRight w:val="0"/>
                                                  <w:marTop w:val="0"/>
                                                  <w:marBottom w:val="0"/>
                                                  <w:divBdr>
                                                    <w:top w:val="none" w:sz="0" w:space="0" w:color="auto"/>
                                                    <w:left w:val="none" w:sz="0" w:space="0" w:color="auto"/>
                                                    <w:bottom w:val="none" w:sz="0" w:space="0" w:color="auto"/>
                                                    <w:right w:val="none" w:sz="0" w:space="0" w:color="auto"/>
                                                  </w:divBdr>
                                                  <w:divsChild>
                                                    <w:div w:id="397017932">
                                                      <w:marLeft w:val="0"/>
                                                      <w:marRight w:val="0"/>
                                                      <w:marTop w:val="0"/>
                                                      <w:marBottom w:val="0"/>
                                                      <w:divBdr>
                                                        <w:top w:val="none" w:sz="0" w:space="0" w:color="auto"/>
                                                        <w:left w:val="none" w:sz="0" w:space="0" w:color="auto"/>
                                                        <w:bottom w:val="none" w:sz="0" w:space="0" w:color="auto"/>
                                                        <w:right w:val="none" w:sz="0" w:space="0" w:color="auto"/>
                                                      </w:divBdr>
                                                      <w:divsChild>
                                                        <w:div w:id="788665840">
                                                          <w:marLeft w:val="0"/>
                                                          <w:marRight w:val="0"/>
                                                          <w:marTop w:val="0"/>
                                                          <w:marBottom w:val="0"/>
                                                          <w:divBdr>
                                                            <w:top w:val="none" w:sz="0" w:space="0" w:color="auto"/>
                                                            <w:left w:val="none" w:sz="0" w:space="0" w:color="auto"/>
                                                            <w:bottom w:val="none" w:sz="0" w:space="0" w:color="auto"/>
                                                            <w:right w:val="none" w:sz="0" w:space="0" w:color="auto"/>
                                                          </w:divBdr>
                                                          <w:divsChild>
                                                            <w:div w:id="322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281565">
      <w:bodyDiv w:val="1"/>
      <w:marLeft w:val="0"/>
      <w:marRight w:val="0"/>
      <w:marTop w:val="0"/>
      <w:marBottom w:val="0"/>
      <w:divBdr>
        <w:top w:val="none" w:sz="0" w:space="0" w:color="auto"/>
        <w:left w:val="none" w:sz="0" w:space="0" w:color="auto"/>
        <w:bottom w:val="none" w:sz="0" w:space="0" w:color="auto"/>
        <w:right w:val="none" w:sz="0" w:space="0" w:color="auto"/>
      </w:divBdr>
    </w:div>
    <w:div w:id="1262101430">
      <w:bodyDiv w:val="1"/>
      <w:marLeft w:val="0"/>
      <w:marRight w:val="0"/>
      <w:marTop w:val="0"/>
      <w:marBottom w:val="0"/>
      <w:divBdr>
        <w:top w:val="none" w:sz="0" w:space="0" w:color="auto"/>
        <w:left w:val="none" w:sz="0" w:space="0" w:color="auto"/>
        <w:bottom w:val="none" w:sz="0" w:space="0" w:color="auto"/>
        <w:right w:val="none" w:sz="0" w:space="0" w:color="auto"/>
      </w:divBdr>
    </w:div>
    <w:div w:id="1399747948">
      <w:bodyDiv w:val="1"/>
      <w:marLeft w:val="0"/>
      <w:marRight w:val="0"/>
      <w:marTop w:val="0"/>
      <w:marBottom w:val="0"/>
      <w:divBdr>
        <w:top w:val="none" w:sz="0" w:space="0" w:color="auto"/>
        <w:left w:val="none" w:sz="0" w:space="0" w:color="auto"/>
        <w:bottom w:val="none" w:sz="0" w:space="0" w:color="auto"/>
        <w:right w:val="none" w:sz="0" w:space="0" w:color="auto"/>
      </w:divBdr>
    </w:div>
    <w:div w:id="19391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wre@dtu.dk" TargetMode="External"/><Relationship Id="rId13" Type="http://schemas.openxmlformats.org/officeDocument/2006/relationships/hyperlink" Target="http://www.fao.org/3/cb1579en/CB1579EN.pdf" TargetMode="External"/><Relationship Id="rId18" Type="http://schemas.openxmlformats.org/officeDocument/2006/relationships/hyperlink" Target="https://openknowledge.worldbank.org/bitstream/handle/10986/30934/132660-BRI-PUBLIC-RealigningAgriculturalSupportCSA.pdf?sequence=5&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CA2684EN/ca2684en.pdf" TargetMode="External"/><Relationship Id="rId17" Type="http://schemas.openxmlformats.org/officeDocument/2006/relationships/hyperlink" Target="https://www.oecd-ilibrary.org/agriculture-and-food/enhancing-the-mitigation-of-climate-change-though-agriculture_e9a79226-en" TargetMode="External"/><Relationship Id="rId2" Type="http://schemas.openxmlformats.org/officeDocument/2006/relationships/numbering" Target="numbering.xml"/><Relationship Id="rId16" Type="http://schemas.openxmlformats.org/officeDocument/2006/relationships/hyperlink" Target="http://www.fao.org/3/i3288e/i3288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publications/card/es/c/CA8249EN/" TargetMode="External"/><Relationship Id="rId5" Type="http://schemas.openxmlformats.org/officeDocument/2006/relationships/webSettings" Target="webSettings.xml"/><Relationship Id="rId15" Type="http://schemas.openxmlformats.org/officeDocument/2006/relationships/hyperlink" Target="https://www.mckinsey.com/industries/agriculture/our-insights/alternative-proteins-the-race-for-market-share-is-on" TargetMode="External"/><Relationship Id="rId10" Type="http://schemas.openxmlformats.org/officeDocument/2006/relationships/hyperlink" Target="https://www.eea.europa.eu/data-and-maps/data/climate-change-mitigation-policies-and-measures-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ampos@mma.gob.cl" TargetMode="External"/><Relationship Id="rId14" Type="http://schemas.openxmlformats.org/officeDocument/2006/relationships/hyperlink" Target="http://www.fao.org/3/ca7264en/ca7264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E553-F188-4284-9F36-FD40EFE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11362</Characters>
  <Application>Microsoft Office Word</Application>
  <DocSecurity>4</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Per Harry Wretlind</cp:lastModifiedBy>
  <cp:revision>2</cp:revision>
  <dcterms:created xsi:type="dcterms:W3CDTF">2021-03-26T14:20:00Z</dcterms:created>
  <dcterms:modified xsi:type="dcterms:W3CDTF">2021-03-26T14:20:00Z</dcterms:modified>
</cp:coreProperties>
</file>